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ED2A2D" w14:textId="77777777" w:rsidR="00E61384" w:rsidRDefault="00E61384">
      <w:pPr>
        <w:spacing w:line="520" w:lineRule="exact"/>
        <w:rPr>
          <w:rFonts w:ascii="宋体" w:hAnsi="宋体"/>
          <w:sz w:val="28"/>
          <w:szCs w:val="28"/>
          <w14:shadow w14:blurRad="50800" w14:dist="38100" w14:dir="2700000" w14:sx="100000" w14:sy="100000" w14:kx="0" w14:ky="0" w14:algn="tl">
            <w14:srgbClr w14:val="000000">
              <w14:alpha w14:val="60000"/>
            </w14:srgbClr>
          </w14:shadow>
        </w:rPr>
      </w:pPr>
    </w:p>
    <w:p w14:paraId="2D77D28C" w14:textId="77777777" w:rsidR="00BC0C4E" w:rsidRDefault="00BC0C4E">
      <w:pPr>
        <w:spacing w:line="360" w:lineRule="auto"/>
        <w:jc w:val="center"/>
        <w:rPr>
          <w:b/>
          <w:sz w:val="48"/>
        </w:rPr>
      </w:pPr>
    </w:p>
    <w:p w14:paraId="68D5024C" w14:textId="77777777" w:rsidR="00BC0C4E" w:rsidRDefault="00BC0C4E">
      <w:pPr>
        <w:spacing w:line="360" w:lineRule="auto"/>
        <w:jc w:val="center"/>
        <w:rPr>
          <w:b/>
          <w:sz w:val="48"/>
        </w:rPr>
      </w:pPr>
    </w:p>
    <w:p w14:paraId="4EC61BB7" w14:textId="77777777" w:rsidR="00BC0C4E" w:rsidRDefault="00BC0C4E">
      <w:pPr>
        <w:spacing w:line="360" w:lineRule="auto"/>
        <w:jc w:val="center"/>
        <w:rPr>
          <w:b/>
          <w:sz w:val="48"/>
        </w:rPr>
      </w:pPr>
      <w:r>
        <w:rPr>
          <w:rFonts w:hint="eastAsia"/>
          <w:b/>
          <w:sz w:val="48"/>
        </w:rPr>
        <w:t>银华</w:t>
      </w:r>
      <w:r w:rsidR="0093607B">
        <w:rPr>
          <w:rFonts w:hint="eastAsia"/>
          <w:b/>
          <w:sz w:val="48"/>
        </w:rPr>
        <w:t>中证</w:t>
      </w:r>
      <w:r w:rsidR="0093607B">
        <w:rPr>
          <w:rFonts w:hint="eastAsia"/>
          <w:b/>
          <w:sz w:val="48"/>
        </w:rPr>
        <w:t>AAA</w:t>
      </w:r>
      <w:r w:rsidR="0093607B">
        <w:rPr>
          <w:rFonts w:hint="eastAsia"/>
          <w:b/>
          <w:sz w:val="48"/>
        </w:rPr>
        <w:t>科技创新公司债交易型开放式指数证券投资基金</w:t>
      </w:r>
    </w:p>
    <w:p w14:paraId="212209DC" w14:textId="3AC1F695" w:rsidR="00E61384" w:rsidRDefault="0093607B">
      <w:pPr>
        <w:spacing w:line="360" w:lineRule="auto"/>
        <w:jc w:val="center"/>
        <w:rPr>
          <w:rFonts w:ascii="宋体" w:hAnsi="宋体"/>
          <w:b/>
          <w:sz w:val="48"/>
        </w:rPr>
      </w:pPr>
      <w:r>
        <w:rPr>
          <w:rFonts w:ascii="宋体" w:hAnsi="宋体" w:hint="eastAsia"/>
          <w:b/>
          <w:sz w:val="48"/>
        </w:rPr>
        <w:t>托管协议</w:t>
      </w:r>
    </w:p>
    <w:p w14:paraId="31E0F040" w14:textId="77777777" w:rsidR="00E61384" w:rsidRDefault="00E61384">
      <w:pPr>
        <w:spacing w:line="360" w:lineRule="auto"/>
        <w:jc w:val="center"/>
        <w:rPr>
          <w:rFonts w:ascii="宋体" w:hAnsi="宋体"/>
          <w:b/>
          <w:sz w:val="48"/>
        </w:rPr>
      </w:pPr>
    </w:p>
    <w:p w14:paraId="1D6D8AFD" w14:textId="77777777" w:rsidR="00E61384" w:rsidRDefault="00E61384">
      <w:pPr>
        <w:pStyle w:val="20"/>
        <w:spacing w:line="520" w:lineRule="exact"/>
        <w:ind w:left="0"/>
        <w:rPr>
          <w:rFonts w:hAnsi="宋体"/>
          <w:sz w:val="44"/>
          <w:szCs w:val="44"/>
        </w:rPr>
      </w:pPr>
    </w:p>
    <w:p w14:paraId="0E79C72F" w14:textId="77777777" w:rsidR="00E61384" w:rsidRDefault="00E61384">
      <w:pPr>
        <w:pStyle w:val="20"/>
        <w:spacing w:line="520" w:lineRule="exact"/>
        <w:ind w:firstLine="560"/>
        <w:rPr>
          <w:rFonts w:hAnsi="宋体"/>
          <w:sz w:val="28"/>
          <w:szCs w:val="28"/>
        </w:rPr>
      </w:pPr>
    </w:p>
    <w:p w14:paraId="70DAFD2F" w14:textId="77777777" w:rsidR="00E61384" w:rsidRDefault="00E61384">
      <w:pPr>
        <w:pStyle w:val="20"/>
        <w:spacing w:line="520" w:lineRule="exact"/>
        <w:ind w:firstLine="560"/>
        <w:rPr>
          <w:rFonts w:hAnsi="宋体"/>
          <w:sz w:val="28"/>
          <w:szCs w:val="28"/>
        </w:rPr>
      </w:pPr>
    </w:p>
    <w:p w14:paraId="1C2FED3C" w14:textId="77777777" w:rsidR="00E61384" w:rsidRDefault="00E61384">
      <w:pPr>
        <w:pStyle w:val="20"/>
        <w:spacing w:line="520" w:lineRule="exact"/>
        <w:ind w:firstLine="560"/>
        <w:rPr>
          <w:rFonts w:hAnsi="宋体"/>
          <w:sz w:val="28"/>
          <w:szCs w:val="28"/>
        </w:rPr>
      </w:pPr>
    </w:p>
    <w:p w14:paraId="75ACE5B2" w14:textId="77777777" w:rsidR="00E61384" w:rsidRDefault="00E61384">
      <w:pPr>
        <w:pStyle w:val="20"/>
        <w:spacing w:line="520" w:lineRule="exact"/>
        <w:ind w:firstLine="560"/>
        <w:rPr>
          <w:rFonts w:hAnsi="宋体"/>
          <w:sz w:val="28"/>
          <w:szCs w:val="28"/>
        </w:rPr>
      </w:pPr>
    </w:p>
    <w:p w14:paraId="04F4C1C6" w14:textId="77777777" w:rsidR="00E61384" w:rsidRDefault="0093607B">
      <w:pPr>
        <w:spacing w:line="360" w:lineRule="auto"/>
        <w:jc w:val="center"/>
        <w:rPr>
          <w:rFonts w:ascii="宋体" w:hAnsi="宋体"/>
          <w:b/>
          <w:sz w:val="36"/>
        </w:rPr>
      </w:pPr>
      <w:bookmarkStart w:id="0" w:name="_Toc123112263"/>
      <w:bookmarkStart w:id="1" w:name="_Toc139992301"/>
      <w:bookmarkStart w:id="2" w:name="_Toc123701383"/>
      <w:bookmarkStart w:id="3" w:name="_Toc139991726"/>
      <w:bookmarkStart w:id="4" w:name="_Toc123112224"/>
      <w:r>
        <w:rPr>
          <w:rFonts w:ascii="宋体" w:hAnsi="宋体"/>
          <w:b/>
          <w:sz w:val="36"/>
        </w:rPr>
        <w:t>基金管理人：</w:t>
      </w:r>
      <w:bookmarkEnd w:id="0"/>
      <w:bookmarkEnd w:id="1"/>
      <w:bookmarkEnd w:id="2"/>
      <w:bookmarkEnd w:id="3"/>
      <w:bookmarkEnd w:id="4"/>
      <w:r w:rsidR="00F1088C">
        <w:rPr>
          <w:rFonts w:ascii="宋体" w:hAnsi="宋体" w:hint="eastAsia"/>
          <w:b/>
          <w:sz w:val="36"/>
        </w:rPr>
        <w:t>银华</w:t>
      </w:r>
      <w:r>
        <w:rPr>
          <w:rFonts w:ascii="宋体" w:hAnsi="宋体" w:hint="eastAsia"/>
          <w:b/>
          <w:sz w:val="36"/>
        </w:rPr>
        <w:t>基金管理</w:t>
      </w:r>
      <w:r w:rsidR="00F1088C">
        <w:rPr>
          <w:rFonts w:ascii="宋体" w:hAnsi="宋体" w:hint="eastAsia"/>
          <w:b/>
          <w:sz w:val="36"/>
        </w:rPr>
        <w:t>股份</w:t>
      </w:r>
      <w:r>
        <w:rPr>
          <w:rFonts w:ascii="宋体" w:hAnsi="宋体" w:hint="eastAsia"/>
          <w:b/>
          <w:sz w:val="36"/>
        </w:rPr>
        <w:t>有限公司</w:t>
      </w:r>
    </w:p>
    <w:p w14:paraId="3CBA6FD1" w14:textId="77777777" w:rsidR="00E61384" w:rsidRDefault="0093607B">
      <w:pPr>
        <w:spacing w:line="360" w:lineRule="auto"/>
        <w:jc w:val="center"/>
        <w:rPr>
          <w:rFonts w:ascii="宋体" w:hAnsi="宋体"/>
          <w:b/>
          <w:sz w:val="36"/>
        </w:rPr>
      </w:pPr>
      <w:bookmarkStart w:id="5" w:name="_Toc139992302"/>
      <w:bookmarkStart w:id="6" w:name="_Toc123112264"/>
      <w:bookmarkStart w:id="7" w:name="_Toc123701384"/>
      <w:bookmarkStart w:id="8" w:name="_Toc139991727"/>
      <w:bookmarkStart w:id="9" w:name="_Toc123112225"/>
      <w:r>
        <w:rPr>
          <w:rFonts w:ascii="宋体" w:hAnsi="宋体"/>
          <w:b/>
          <w:sz w:val="36"/>
        </w:rPr>
        <w:t>基金托管人：</w:t>
      </w:r>
      <w:r>
        <w:rPr>
          <w:rFonts w:ascii="宋体" w:hAnsi="宋体" w:hint="eastAsia"/>
          <w:b/>
          <w:sz w:val="36"/>
        </w:rPr>
        <w:t>中信银行股份有限公司</w:t>
      </w:r>
      <w:bookmarkEnd w:id="5"/>
      <w:bookmarkEnd w:id="6"/>
      <w:bookmarkEnd w:id="7"/>
      <w:bookmarkEnd w:id="8"/>
      <w:bookmarkEnd w:id="9"/>
    </w:p>
    <w:p w14:paraId="5760892E" w14:textId="77777777" w:rsidR="00E61384" w:rsidRDefault="00E61384" w:rsidP="00BC0C4E">
      <w:pPr>
        <w:spacing w:line="360" w:lineRule="auto"/>
        <w:rPr>
          <w:rFonts w:ascii="宋体" w:hAnsi="宋体"/>
          <w:b/>
          <w:bCs/>
          <w:sz w:val="28"/>
          <w:szCs w:val="28"/>
        </w:rPr>
        <w:sectPr w:rsidR="00E61384">
          <w:footerReference w:type="even" r:id="rId10"/>
          <w:footerReference w:type="default" r:id="rId11"/>
          <w:pgSz w:w="11907" w:h="16840"/>
          <w:pgMar w:top="1090" w:right="1678" w:bottom="935" w:left="1678" w:header="720" w:footer="720" w:gutter="0"/>
          <w:pgNumType w:start="0"/>
          <w:cols w:space="720"/>
          <w:titlePg/>
        </w:sectPr>
      </w:pPr>
    </w:p>
    <w:p w14:paraId="2D7B84E6" w14:textId="77777777" w:rsidR="00E61384" w:rsidRDefault="0093607B" w:rsidP="00BC0C4E">
      <w:pPr>
        <w:spacing w:line="360" w:lineRule="auto"/>
        <w:ind w:firstLineChars="200" w:firstLine="562"/>
        <w:jc w:val="center"/>
        <w:rPr>
          <w:rFonts w:ascii="宋体" w:hAnsi="宋体"/>
          <w:b/>
          <w:bCs/>
          <w:sz w:val="28"/>
          <w:szCs w:val="28"/>
        </w:rPr>
      </w:pPr>
      <w:r>
        <w:rPr>
          <w:rFonts w:ascii="宋体" w:hAnsi="宋体" w:hint="eastAsia"/>
          <w:b/>
          <w:bCs/>
          <w:sz w:val="28"/>
          <w:szCs w:val="28"/>
        </w:rPr>
        <w:lastRenderedPageBreak/>
        <w:t>目录</w:t>
      </w:r>
      <w:bookmarkStart w:id="10" w:name="_GoBack"/>
      <w:bookmarkEnd w:id="10"/>
    </w:p>
    <w:p w14:paraId="76A64790" w14:textId="77777777" w:rsidR="00E61384" w:rsidRDefault="00E61384">
      <w:pPr>
        <w:spacing w:line="360" w:lineRule="auto"/>
        <w:ind w:firstLineChars="200" w:firstLine="562"/>
        <w:jc w:val="center"/>
        <w:rPr>
          <w:rFonts w:ascii="宋体" w:hAnsi="宋体"/>
          <w:b/>
          <w:bCs/>
          <w:sz w:val="28"/>
          <w:szCs w:val="28"/>
        </w:rPr>
      </w:pPr>
    </w:p>
    <w:p w14:paraId="6414619C" w14:textId="234DC396" w:rsidR="00E61384" w:rsidRDefault="0093607B">
      <w:pPr>
        <w:pStyle w:val="12"/>
        <w:rPr>
          <w:rFonts w:asciiTheme="minorHAnsi" w:eastAsiaTheme="minorEastAsia" w:hAnsiTheme="minorHAnsi" w:cstheme="minorBidi"/>
          <w:noProof/>
          <w:sz w:val="21"/>
          <w:szCs w:val="22"/>
        </w:rPr>
      </w:pPr>
      <w:r>
        <w:rPr>
          <w:b/>
          <w:sz w:val="28"/>
          <w:szCs w:val="28"/>
        </w:rPr>
        <w:fldChar w:fldCharType="begin"/>
      </w:r>
      <w:r>
        <w:rPr>
          <w:b/>
          <w:sz w:val="28"/>
          <w:szCs w:val="28"/>
        </w:rPr>
        <w:instrText xml:space="preserve"> </w:instrText>
      </w:r>
      <w:r>
        <w:rPr>
          <w:rFonts w:hint="eastAsia"/>
          <w:b/>
          <w:sz w:val="28"/>
          <w:szCs w:val="28"/>
        </w:rPr>
        <w:instrText>TOC \o "1-1" \h \z \u</w:instrText>
      </w:r>
      <w:r>
        <w:rPr>
          <w:b/>
          <w:sz w:val="28"/>
          <w:szCs w:val="28"/>
        </w:rPr>
        <w:instrText xml:space="preserve"> </w:instrText>
      </w:r>
      <w:r>
        <w:rPr>
          <w:b/>
          <w:sz w:val="28"/>
          <w:szCs w:val="28"/>
        </w:rPr>
        <w:fldChar w:fldCharType="separate"/>
      </w:r>
      <w:hyperlink w:anchor="_Toc142055705" w:history="1">
        <w:r>
          <w:rPr>
            <w:rStyle w:val="af5"/>
            <w:bCs/>
            <w:noProof/>
          </w:rPr>
          <w:t>第一条 基金托管协议当事人</w:t>
        </w:r>
        <w:r>
          <w:rPr>
            <w:noProof/>
          </w:rPr>
          <w:tab/>
        </w:r>
        <w:r>
          <w:rPr>
            <w:noProof/>
          </w:rPr>
          <w:fldChar w:fldCharType="begin"/>
        </w:r>
        <w:r>
          <w:rPr>
            <w:noProof/>
          </w:rPr>
          <w:instrText xml:space="preserve"> PAGEREF _Toc142055705 \h </w:instrText>
        </w:r>
        <w:r>
          <w:rPr>
            <w:noProof/>
          </w:rPr>
        </w:r>
        <w:r>
          <w:rPr>
            <w:noProof/>
          </w:rPr>
          <w:fldChar w:fldCharType="separate"/>
        </w:r>
        <w:r w:rsidR="00C87D26">
          <w:rPr>
            <w:noProof/>
          </w:rPr>
          <w:t>2</w:t>
        </w:r>
        <w:r>
          <w:rPr>
            <w:noProof/>
          </w:rPr>
          <w:fldChar w:fldCharType="end"/>
        </w:r>
      </w:hyperlink>
    </w:p>
    <w:p w14:paraId="7CF19913" w14:textId="6F578188" w:rsidR="00E61384" w:rsidRDefault="00745BB1">
      <w:pPr>
        <w:pStyle w:val="12"/>
        <w:rPr>
          <w:rFonts w:asciiTheme="minorHAnsi" w:eastAsiaTheme="minorEastAsia" w:hAnsiTheme="minorHAnsi" w:cstheme="minorBidi"/>
          <w:noProof/>
          <w:sz w:val="21"/>
          <w:szCs w:val="22"/>
        </w:rPr>
      </w:pPr>
      <w:hyperlink w:anchor="_Toc142055706" w:history="1">
        <w:r w:rsidR="0093607B">
          <w:rPr>
            <w:rStyle w:val="af5"/>
            <w:bCs/>
            <w:noProof/>
          </w:rPr>
          <w:t>第二条 基金托管协议的依据、目的和原则</w:t>
        </w:r>
        <w:r w:rsidR="0093607B">
          <w:rPr>
            <w:noProof/>
          </w:rPr>
          <w:tab/>
        </w:r>
        <w:r w:rsidR="0093607B">
          <w:rPr>
            <w:noProof/>
          </w:rPr>
          <w:fldChar w:fldCharType="begin"/>
        </w:r>
        <w:r w:rsidR="0093607B">
          <w:rPr>
            <w:noProof/>
          </w:rPr>
          <w:instrText xml:space="preserve"> PAGEREF _Toc142055706 \h </w:instrText>
        </w:r>
        <w:r w:rsidR="0093607B">
          <w:rPr>
            <w:noProof/>
          </w:rPr>
        </w:r>
        <w:r w:rsidR="0093607B">
          <w:rPr>
            <w:noProof/>
          </w:rPr>
          <w:fldChar w:fldCharType="separate"/>
        </w:r>
        <w:r w:rsidR="00C87D26">
          <w:rPr>
            <w:noProof/>
          </w:rPr>
          <w:t>3</w:t>
        </w:r>
        <w:r w:rsidR="0093607B">
          <w:rPr>
            <w:noProof/>
          </w:rPr>
          <w:fldChar w:fldCharType="end"/>
        </w:r>
      </w:hyperlink>
    </w:p>
    <w:p w14:paraId="5B8A7453" w14:textId="2BF2A295" w:rsidR="00E61384" w:rsidRDefault="00745BB1">
      <w:pPr>
        <w:pStyle w:val="12"/>
        <w:rPr>
          <w:rFonts w:asciiTheme="minorHAnsi" w:eastAsiaTheme="minorEastAsia" w:hAnsiTheme="minorHAnsi" w:cstheme="minorBidi"/>
          <w:noProof/>
          <w:sz w:val="21"/>
          <w:szCs w:val="22"/>
        </w:rPr>
      </w:pPr>
      <w:hyperlink w:anchor="_Toc142055707" w:history="1">
        <w:r w:rsidR="0093607B">
          <w:rPr>
            <w:rStyle w:val="af5"/>
            <w:bCs/>
            <w:noProof/>
          </w:rPr>
          <w:t>第三条 基金托管人对基金管理人的业务监督和核查</w:t>
        </w:r>
        <w:r w:rsidR="0093607B">
          <w:rPr>
            <w:noProof/>
          </w:rPr>
          <w:tab/>
        </w:r>
        <w:r w:rsidR="0093607B">
          <w:rPr>
            <w:noProof/>
          </w:rPr>
          <w:fldChar w:fldCharType="begin"/>
        </w:r>
        <w:r w:rsidR="0093607B">
          <w:rPr>
            <w:noProof/>
          </w:rPr>
          <w:instrText xml:space="preserve"> PAGEREF _Toc142055707 \h </w:instrText>
        </w:r>
        <w:r w:rsidR="0093607B">
          <w:rPr>
            <w:noProof/>
          </w:rPr>
        </w:r>
        <w:r w:rsidR="0093607B">
          <w:rPr>
            <w:noProof/>
          </w:rPr>
          <w:fldChar w:fldCharType="separate"/>
        </w:r>
        <w:r w:rsidR="00C87D26">
          <w:rPr>
            <w:noProof/>
          </w:rPr>
          <w:t>4</w:t>
        </w:r>
        <w:r w:rsidR="0093607B">
          <w:rPr>
            <w:noProof/>
          </w:rPr>
          <w:fldChar w:fldCharType="end"/>
        </w:r>
      </w:hyperlink>
    </w:p>
    <w:p w14:paraId="699D68E5" w14:textId="2C199C70" w:rsidR="00E61384" w:rsidRDefault="00745BB1">
      <w:pPr>
        <w:pStyle w:val="12"/>
        <w:rPr>
          <w:rFonts w:asciiTheme="minorHAnsi" w:eastAsiaTheme="minorEastAsia" w:hAnsiTheme="minorHAnsi" w:cstheme="minorBidi"/>
          <w:noProof/>
          <w:sz w:val="21"/>
          <w:szCs w:val="22"/>
        </w:rPr>
      </w:pPr>
      <w:hyperlink w:anchor="_Toc142055708" w:history="1">
        <w:r w:rsidR="0093607B">
          <w:rPr>
            <w:rStyle w:val="af5"/>
            <w:bCs/>
            <w:noProof/>
          </w:rPr>
          <w:t>第四条 基金管理人对基金托管人的业务核查</w:t>
        </w:r>
        <w:r w:rsidR="0093607B">
          <w:rPr>
            <w:noProof/>
          </w:rPr>
          <w:tab/>
        </w:r>
        <w:r w:rsidR="0093607B">
          <w:rPr>
            <w:noProof/>
          </w:rPr>
          <w:fldChar w:fldCharType="begin"/>
        </w:r>
        <w:r w:rsidR="0093607B">
          <w:rPr>
            <w:noProof/>
          </w:rPr>
          <w:instrText xml:space="preserve"> PAGEREF _Toc142055708 \h </w:instrText>
        </w:r>
        <w:r w:rsidR="0093607B">
          <w:rPr>
            <w:noProof/>
          </w:rPr>
        </w:r>
        <w:r w:rsidR="0093607B">
          <w:rPr>
            <w:noProof/>
          </w:rPr>
          <w:fldChar w:fldCharType="separate"/>
        </w:r>
        <w:r w:rsidR="00C87D26">
          <w:rPr>
            <w:noProof/>
          </w:rPr>
          <w:t>11</w:t>
        </w:r>
        <w:r w:rsidR="0093607B">
          <w:rPr>
            <w:noProof/>
          </w:rPr>
          <w:fldChar w:fldCharType="end"/>
        </w:r>
      </w:hyperlink>
    </w:p>
    <w:p w14:paraId="56CE03BD" w14:textId="44BD1F4C" w:rsidR="00E61384" w:rsidRDefault="00745BB1">
      <w:pPr>
        <w:pStyle w:val="12"/>
        <w:rPr>
          <w:rFonts w:asciiTheme="minorHAnsi" w:eastAsiaTheme="minorEastAsia" w:hAnsiTheme="minorHAnsi" w:cstheme="minorBidi"/>
          <w:noProof/>
          <w:sz w:val="21"/>
          <w:szCs w:val="22"/>
        </w:rPr>
      </w:pPr>
      <w:hyperlink w:anchor="_Toc142055709" w:history="1">
        <w:r w:rsidR="0093607B">
          <w:rPr>
            <w:rStyle w:val="af5"/>
            <w:bCs/>
            <w:noProof/>
          </w:rPr>
          <w:t>第五条 基金财产保管</w:t>
        </w:r>
        <w:r w:rsidR="0093607B">
          <w:rPr>
            <w:noProof/>
          </w:rPr>
          <w:tab/>
        </w:r>
        <w:r w:rsidR="0093607B">
          <w:rPr>
            <w:noProof/>
          </w:rPr>
          <w:fldChar w:fldCharType="begin"/>
        </w:r>
        <w:r w:rsidR="0093607B">
          <w:rPr>
            <w:noProof/>
          </w:rPr>
          <w:instrText xml:space="preserve"> PAGEREF _Toc142055709 \h </w:instrText>
        </w:r>
        <w:r w:rsidR="0093607B">
          <w:rPr>
            <w:noProof/>
          </w:rPr>
        </w:r>
        <w:r w:rsidR="0093607B">
          <w:rPr>
            <w:noProof/>
          </w:rPr>
          <w:fldChar w:fldCharType="separate"/>
        </w:r>
        <w:r w:rsidR="00C87D26">
          <w:rPr>
            <w:noProof/>
          </w:rPr>
          <w:t>12</w:t>
        </w:r>
        <w:r w:rsidR="0093607B">
          <w:rPr>
            <w:noProof/>
          </w:rPr>
          <w:fldChar w:fldCharType="end"/>
        </w:r>
      </w:hyperlink>
    </w:p>
    <w:p w14:paraId="38724EBD" w14:textId="43CDDF4C" w:rsidR="00E61384" w:rsidRDefault="00745BB1">
      <w:pPr>
        <w:pStyle w:val="12"/>
        <w:rPr>
          <w:rFonts w:asciiTheme="minorHAnsi" w:eastAsiaTheme="minorEastAsia" w:hAnsiTheme="minorHAnsi" w:cstheme="minorBidi"/>
          <w:noProof/>
          <w:sz w:val="21"/>
          <w:szCs w:val="22"/>
        </w:rPr>
      </w:pPr>
      <w:hyperlink w:anchor="_Toc142055710" w:history="1">
        <w:r w:rsidR="0093607B">
          <w:rPr>
            <w:rStyle w:val="af5"/>
            <w:bCs/>
            <w:noProof/>
          </w:rPr>
          <w:t>第六条 指令的发送、确认和执行</w:t>
        </w:r>
        <w:r w:rsidR="0093607B">
          <w:rPr>
            <w:noProof/>
          </w:rPr>
          <w:tab/>
        </w:r>
        <w:r w:rsidR="0093607B">
          <w:rPr>
            <w:noProof/>
          </w:rPr>
          <w:fldChar w:fldCharType="begin"/>
        </w:r>
        <w:r w:rsidR="0093607B">
          <w:rPr>
            <w:noProof/>
          </w:rPr>
          <w:instrText xml:space="preserve"> PAGEREF _Toc142055710 \h </w:instrText>
        </w:r>
        <w:r w:rsidR="0093607B">
          <w:rPr>
            <w:noProof/>
          </w:rPr>
        </w:r>
        <w:r w:rsidR="0093607B">
          <w:rPr>
            <w:noProof/>
          </w:rPr>
          <w:fldChar w:fldCharType="separate"/>
        </w:r>
        <w:r w:rsidR="00C87D26">
          <w:rPr>
            <w:noProof/>
          </w:rPr>
          <w:t>15</w:t>
        </w:r>
        <w:r w:rsidR="0093607B">
          <w:rPr>
            <w:noProof/>
          </w:rPr>
          <w:fldChar w:fldCharType="end"/>
        </w:r>
      </w:hyperlink>
    </w:p>
    <w:p w14:paraId="144383C7" w14:textId="262D59DE" w:rsidR="00E61384" w:rsidRDefault="00745BB1">
      <w:pPr>
        <w:pStyle w:val="12"/>
        <w:rPr>
          <w:rFonts w:asciiTheme="minorHAnsi" w:eastAsiaTheme="minorEastAsia" w:hAnsiTheme="minorHAnsi" w:cstheme="minorBidi"/>
          <w:noProof/>
          <w:sz w:val="21"/>
          <w:szCs w:val="22"/>
        </w:rPr>
      </w:pPr>
      <w:hyperlink w:anchor="_Toc142055711" w:history="1">
        <w:r w:rsidR="0093607B">
          <w:rPr>
            <w:rStyle w:val="af5"/>
            <w:bCs/>
            <w:noProof/>
          </w:rPr>
          <w:t>第七条 交易及清算交收安排</w:t>
        </w:r>
        <w:r w:rsidR="0093607B">
          <w:rPr>
            <w:noProof/>
          </w:rPr>
          <w:tab/>
        </w:r>
        <w:r w:rsidR="0093607B">
          <w:rPr>
            <w:noProof/>
          </w:rPr>
          <w:fldChar w:fldCharType="begin"/>
        </w:r>
        <w:r w:rsidR="0093607B">
          <w:rPr>
            <w:noProof/>
          </w:rPr>
          <w:instrText xml:space="preserve"> PAGEREF _Toc142055711 \h </w:instrText>
        </w:r>
        <w:r w:rsidR="0093607B">
          <w:rPr>
            <w:noProof/>
          </w:rPr>
        </w:r>
        <w:r w:rsidR="0093607B">
          <w:rPr>
            <w:noProof/>
          </w:rPr>
          <w:fldChar w:fldCharType="separate"/>
        </w:r>
        <w:r w:rsidR="00C87D26">
          <w:rPr>
            <w:noProof/>
          </w:rPr>
          <w:t>18</w:t>
        </w:r>
        <w:r w:rsidR="0093607B">
          <w:rPr>
            <w:noProof/>
          </w:rPr>
          <w:fldChar w:fldCharType="end"/>
        </w:r>
      </w:hyperlink>
    </w:p>
    <w:p w14:paraId="7D2317F8" w14:textId="2A9F4262" w:rsidR="00E61384" w:rsidRDefault="00745BB1">
      <w:pPr>
        <w:pStyle w:val="12"/>
        <w:rPr>
          <w:rFonts w:asciiTheme="minorHAnsi" w:eastAsiaTheme="minorEastAsia" w:hAnsiTheme="minorHAnsi" w:cstheme="minorBidi"/>
          <w:noProof/>
          <w:sz w:val="21"/>
          <w:szCs w:val="22"/>
        </w:rPr>
      </w:pPr>
      <w:hyperlink w:anchor="_Toc142055712" w:history="1">
        <w:r w:rsidR="0093607B">
          <w:rPr>
            <w:rStyle w:val="af5"/>
            <w:bCs/>
            <w:noProof/>
          </w:rPr>
          <w:t>第八条 基金资产净值计算和会计核算</w:t>
        </w:r>
        <w:r w:rsidR="0093607B">
          <w:rPr>
            <w:noProof/>
          </w:rPr>
          <w:tab/>
        </w:r>
        <w:r w:rsidR="0093607B">
          <w:rPr>
            <w:noProof/>
          </w:rPr>
          <w:fldChar w:fldCharType="begin"/>
        </w:r>
        <w:r w:rsidR="0093607B">
          <w:rPr>
            <w:noProof/>
          </w:rPr>
          <w:instrText xml:space="preserve"> PAGEREF _Toc142055712 \h </w:instrText>
        </w:r>
        <w:r w:rsidR="0093607B">
          <w:rPr>
            <w:noProof/>
          </w:rPr>
        </w:r>
        <w:r w:rsidR="0093607B">
          <w:rPr>
            <w:noProof/>
          </w:rPr>
          <w:fldChar w:fldCharType="separate"/>
        </w:r>
        <w:r w:rsidR="00C87D26">
          <w:rPr>
            <w:noProof/>
          </w:rPr>
          <w:t>21</w:t>
        </w:r>
        <w:r w:rsidR="0093607B">
          <w:rPr>
            <w:noProof/>
          </w:rPr>
          <w:fldChar w:fldCharType="end"/>
        </w:r>
      </w:hyperlink>
    </w:p>
    <w:p w14:paraId="465B8B84" w14:textId="5008FC73" w:rsidR="00E61384" w:rsidRDefault="00745BB1">
      <w:pPr>
        <w:pStyle w:val="12"/>
        <w:rPr>
          <w:rFonts w:asciiTheme="minorHAnsi" w:eastAsiaTheme="minorEastAsia" w:hAnsiTheme="minorHAnsi" w:cstheme="minorBidi"/>
          <w:noProof/>
          <w:sz w:val="21"/>
          <w:szCs w:val="22"/>
        </w:rPr>
      </w:pPr>
      <w:hyperlink w:anchor="_Toc142055713" w:history="1">
        <w:r w:rsidR="0093607B">
          <w:rPr>
            <w:rStyle w:val="af5"/>
            <w:bCs/>
            <w:noProof/>
          </w:rPr>
          <w:t>第九条 基金收益分配</w:t>
        </w:r>
        <w:r w:rsidR="0093607B">
          <w:rPr>
            <w:noProof/>
          </w:rPr>
          <w:tab/>
        </w:r>
        <w:r w:rsidR="0093607B">
          <w:rPr>
            <w:noProof/>
          </w:rPr>
          <w:fldChar w:fldCharType="begin"/>
        </w:r>
        <w:r w:rsidR="0093607B">
          <w:rPr>
            <w:noProof/>
          </w:rPr>
          <w:instrText xml:space="preserve"> PAGEREF _Toc142055713 \h </w:instrText>
        </w:r>
        <w:r w:rsidR="0093607B">
          <w:rPr>
            <w:noProof/>
          </w:rPr>
        </w:r>
        <w:r w:rsidR="0093607B">
          <w:rPr>
            <w:noProof/>
          </w:rPr>
          <w:fldChar w:fldCharType="separate"/>
        </w:r>
        <w:r w:rsidR="00C87D26">
          <w:rPr>
            <w:noProof/>
          </w:rPr>
          <w:t>27</w:t>
        </w:r>
        <w:r w:rsidR="0093607B">
          <w:rPr>
            <w:noProof/>
          </w:rPr>
          <w:fldChar w:fldCharType="end"/>
        </w:r>
      </w:hyperlink>
    </w:p>
    <w:p w14:paraId="41041BB3" w14:textId="6C241B38" w:rsidR="00E61384" w:rsidRDefault="00745BB1">
      <w:pPr>
        <w:pStyle w:val="12"/>
        <w:rPr>
          <w:rFonts w:asciiTheme="minorHAnsi" w:eastAsiaTheme="minorEastAsia" w:hAnsiTheme="minorHAnsi" w:cstheme="minorBidi"/>
          <w:noProof/>
          <w:sz w:val="21"/>
          <w:szCs w:val="22"/>
        </w:rPr>
      </w:pPr>
      <w:hyperlink w:anchor="_Toc142055714" w:history="1">
        <w:r w:rsidR="0093607B">
          <w:rPr>
            <w:rStyle w:val="af5"/>
            <w:bCs/>
            <w:noProof/>
          </w:rPr>
          <w:t>第十条 信息披露</w:t>
        </w:r>
        <w:r w:rsidR="0093607B">
          <w:rPr>
            <w:noProof/>
          </w:rPr>
          <w:tab/>
        </w:r>
        <w:r w:rsidR="0093607B">
          <w:rPr>
            <w:noProof/>
          </w:rPr>
          <w:fldChar w:fldCharType="begin"/>
        </w:r>
        <w:r w:rsidR="0093607B">
          <w:rPr>
            <w:noProof/>
          </w:rPr>
          <w:instrText xml:space="preserve"> PAGEREF _Toc142055714 \h </w:instrText>
        </w:r>
        <w:r w:rsidR="0093607B">
          <w:rPr>
            <w:noProof/>
          </w:rPr>
        </w:r>
        <w:r w:rsidR="0093607B">
          <w:rPr>
            <w:noProof/>
          </w:rPr>
          <w:fldChar w:fldCharType="separate"/>
        </w:r>
        <w:r w:rsidR="00C87D26">
          <w:rPr>
            <w:noProof/>
          </w:rPr>
          <w:t>28</w:t>
        </w:r>
        <w:r w:rsidR="0093607B">
          <w:rPr>
            <w:noProof/>
          </w:rPr>
          <w:fldChar w:fldCharType="end"/>
        </w:r>
      </w:hyperlink>
    </w:p>
    <w:p w14:paraId="55A76636" w14:textId="52526743" w:rsidR="00E61384" w:rsidRDefault="00745BB1">
      <w:pPr>
        <w:pStyle w:val="12"/>
        <w:rPr>
          <w:rFonts w:asciiTheme="minorHAnsi" w:eastAsiaTheme="minorEastAsia" w:hAnsiTheme="minorHAnsi" w:cstheme="minorBidi"/>
          <w:noProof/>
          <w:sz w:val="21"/>
          <w:szCs w:val="22"/>
        </w:rPr>
      </w:pPr>
      <w:hyperlink w:anchor="_Toc142055715" w:history="1">
        <w:r w:rsidR="0093607B">
          <w:rPr>
            <w:rStyle w:val="af5"/>
            <w:bCs/>
            <w:noProof/>
          </w:rPr>
          <w:t>第十一条 基金费用</w:t>
        </w:r>
        <w:r w:rsidR="0093607B">
          <w:rPr>
            <w:noProof/>
          </w:rPr>
          <w:tab/>
        </w:r>
        <w:r w:rsidR="0093607B">
          <w:rPr>
            <w:noProof/>
          </w:rPr>
          <w:fldChar w:fldCharType="begin"/>
        </w:r>
        <w:r w:rsidR="0093607B">
          <w:rPr>
            <w:noProof/>
          </w:rPr>
          <w:instrText xml:space="preserve"> PAGEREF _Toc142055715 \h </w:instrText>
        </w:r>
        <w:r w:rsidR="0093607B">
          <w:rPr>
            <w:noProof/>
          </w:rPr>
        </w:r>
        <w:r w:rsidR="0093607B">
          <w:rPr>
            <w:noProof/>
          </w:rPr>
          <w:fldChar w:fldCharType="separate"/>
        </w:r>
        <w:r w:rsidR="00C87D26">
          <w:rPr>
            <w:noProof/>
          </w:rPr>
          <w:t>30</w:t>
        </w:r>
        <w:r w:rsidR="0093607B">
          <w:rPr>
            <w:noProof/>
          </w:rPr>
          <w:fldChar w:fldCharType="end"/>
        </w:r>
      </w:hyperlink>
    </w:p>
    <w:p w14:paraId="12090AB3" w14:textId="2CD76868" w:rsidR="00E61384" w:rsidRDefault="00745BB1">
      <w:pPr>
        <w:pStyle w:val="12"/>
        <w:rPr>
          <w:rFonts w:asciiTheme="minorHAnsi" w:eastAsiaTheme="minorEastAsia" w:hAnsiTheme="minorHAnsi" w:cstheme="minorBidi"/>
          <w:noProof/>
          <w:sz w:val="21"/>
          <w:szCs w:val="22"/>
        </w:rPr>
      </w:pPr>
      <w:hyperlink w:anchor="_Toc142055716" w:history="1">
        <w:r w:rsidR="0093607B">
          <w:rPr>
            <w:rStyle w:val="af5"/>
            <w:bCs/>
            <w:noProof/>
          </w:rPr>
          <w:t>第十二条 基金份额持有人名册的保管</w:t>
        </w:r>
        <w:r w:rsidR="0093607B">
          <w:rPr>
            <w:noProof/>
          </w:rPr>
          <w:tab/>
        </w:r>
        <w:r w:rsidR="0093607B">
          <w:rPr>
            <w:noProof/>
          </w:rPr>
          <w:fldChar w:fldCharType="begin"/>
        </w:r>
        <w:r w:rsidR="0093607B">
          <w:rPr>
            <w:noProof/>
          </w:rPr>
          <w:instrText xml:space="preserve"> PAGEREF _Toc142055716 \h </w:instrText>
        </w:r>
        <w:r w:rsidR="0093607B">
          <w:rPr>
            <w:noProof/>
          </w:rPr>
        </w:r>
        <w:r w:rsidR="0093607B">
          <w:rPr>
            <w:noProof/>
          </w:rPr>
          <w:fldChar w:fldCharType="separate"/>
        </w:r>
        <w:r w:rsidR="00C87D26">
          <w:rPr>
            <w:noProof/>
          </w:rPr>
          <w:t>32</w:t>
        </w:r>
        <w:r w:rsidR="0093607B">
          <w:rPr>
            <w:noProof/>
          </w:rPr>
          <w:fldChar w:fldCharType="end"/>
        </w:r>
      </w:hyperlink>
    </w:p>
    <w:p w14:paraId="7FEC29C6" w14:textId="7F889B33" w:rsidR="00E61384" w:rsidRDefault="00745BB1">
      <w:pPr>
        <w:pStyle w:val="12"/>
        <w:rPr>
          <w:rFonts w:asciiTheme="minorHAnsi" w:eastAsiaTheme="minorEastAsia" w:hAnsiTheme="minorHAnsi" w:cstheme="minorBidi"/>
          <w:noProof/>
          <w:sz w:val="21"/>
          <w:szCs w:val="22"/>
        </w:rPr>
      </w:pPr>
      <w:hyperlink w:anchor="_Toc142055717" w:history="1">
        <w:r w:rsidR="0093607B">
          <w:rPr>
            <w:rStyle w:val="af5"/>
            <w:bCs/>
            <w:noProof/>
          </w:rPr>
          <w:t>第十三条 基金有关文件和档案的保存</w:t>
        </w:r>
        <w:r w:rsidR="0093607B">
          <w:rPr>
            <w:noProof/>
          </w:rPr>
          <w:tab/>
        </w:r>
        <w:r w:rsidR="0093607B">
          <w:rPr>
            <w:noProof/>
          </w:rPr>
          <w:fldChar w:fldCharType="begin"/>
        </w:r>
        <w:r w:rsidR="0093607B">
          <w:rPr>
            <w:noProof/>
          </w:rPr>
          <w:instrText xml:space="preserve"> PAGEREF _Toc142055717 \h </w:instrText>
        </w:r>
        <w:r w:rsidR="0093607B">
          <w:rPr>
            <w:noProof/>
          </w:rPr>
        </w:r>
        <w:r w:rsidR="0093607B">
          <w:rPr>
            <w:noProof/>
          </w:rPr>
          <w:fldChar w:fldCharType="separate"/>
        </w:r>
        <w:r w:rsidR="00C87D26">
          <w:rPr>
            <w:noProof/>
          </w:rPr>
          <w:t>32</w:t>
        </w:r>
        <w:r w:rsidR="0093607B">
          <w:rPr>
            <w:noProof/>
          </w:rPr>
          <w:fldChar w:fldCharType="end"/>
        </w:r>
      </w:hyperlink>
    </w:p>
    <w:p w14:paraId="220B8C57" w14:textId="24FBAFE3" w:rsidR="00E61384" w:rsidRDefault="00745BB1">
      <w:pPr>
        <w:pStyle w:val="12"/>
        <w:rPr>
          <w:rFonts w:asciiTheme="minorHAnsi" w:eastAsiaTheme="minorEastAsia" w:hAnsiTheme="minorHAnsi" w:cstheme="minorBidi"/>
          <w:noProof/>
          <w:sz w:val="21"/>
          <w:szCs w:val="22"/>
        </w:rPr>
      </w:pPr>
      <w:hyperlink w:anchor="_Toc142055718" w:history="1">
        <w:r w:rsidR="0093607B">
          <w:rPr>
            <w:rStyle w:val="af5"/>
            <w:bCs/>
            <w:noProof/>
          </w:rPr>
          <w:t>第十四条 基金管理人和基金托管人的更换</w:t>
        </w:r>
        <w:r w:rsidR="0093607B">
          <w:rPr>
            <w:noProof/>
          </w:rPr>
          <w:tab/>
        </w:r>
        <w:r w:rsidR="0093607B">
          <w:rPr>
            <w:noProof/>
          </w:rPr>
          <w:fldChar w:fldCharType="begin"/>
        </w:r>
        <w:r w:rsidR="0093607B">
          <w:rPr>
            <w:noProof/>
          </w:rPr>
          <w:instrText xml:space="preserve"> PAGEREF _Toc142055718 \h </w:instrText>
        </w:r>
        <w:r w:rsidR="0093607B">
          <w:rPr>
            <w:noProof/>
          </w:rPr>
        </w:r>
        <w:r w:rsidR="0093607B">
          <w:rPr>
            <w:noProof/>
          </w:rPr>
          <w:fldChar w:fldCharType="separate"/>
        </w:r>
        <w:r w:rsidR="00C87D26">
          <w:rPr>
            <w:noProof/>
          </w:rPr>
          <w:t>33</w:t>
        </w:r>
        <w:r w:rsidR="0093607B">
          <w:rPr>
            <w:noProof/>
          </w:rPr>
          <w:fldChar w:fldCharType="end"/>
        </w:r>
      </w:hyperlink>
    </w:p>
    <w:p w14:paraId="30139F60" w14:textId="551FF15A" w:rsidR="00E61384" w:rsidRDefault="00745BB1">
      <w:pPr>
        <w:pStyle w:val="12"/>
        <w:rPr>
          <w:rFonts w:asciiTheme="minorHAnsi" w:eastAsiaTheme="minorEastAsia" w:hAnsiTheme="minorHAnsi" w:cstheme="minorBidi"/>
          <w:noProof/>
          <w:sz w:val="21"/>
          <w:szCs w:val="22"/>
        </w:rPr>
      </w:pPr>
      <w:hyperlink w:anchor="_Toc142055719" w:history="1">
        <w:r w:rsidR="0093607B">
          <w:rPr>
            <w:rStyle w:val="af5"/>
            <w:bCs/>
            <w:noProof/>
          </w:rPr>
          <w:t>第十五条 禁止行为</w:t>
        </w:r>
        <w:r w:rsidR="0093607B">
          <w:rPr>
            <w:noProof/>
          </w:rPr>
          <w:tab/>
        </w:r>
        <w:r w:rsidR="0093607B">
          <w:rPr>
            <w:noProof/>
          </w:rPr>
          <w:fldChar w:fldCharType="begin"/>
        </w:r>
        <w:r w:rsidR="0093607B">
          <w:rPr>
            <w:noProof/>
          </w:rPr>
          <w:instrText xml:space="preserve"> PAGEREF _Toc142055719 \h </w:instrText>
        </w:r>
        <w:r w:rsidR="0093607B">
          <w:rPr>
            <w:noProof/>
          </w:rPr>
        </w:r>
        <w:r w:rsidR="0093607B">
          <w:rPr>
            <w:noProof/>
          </w:rPr>
          <w:fldChar w:fldCharType="separate"/>
        </w:r>
        <w:r w:rsidR="00C87D26">
          <w:rPr>
            <w:noProof/>
          </w:rPr>
          <w:t>35</w:t>
        </w:r>
        <w:r w:rsidR="0093607B">
          <w:rPr>
            <w:noProof/>
          </w:rPr>
          <w:fldChar w:fldCharType="end"/>
        </w:r>
      </w:hyperlink>
    </w:p>
    <w:p w14:paraId="7BD6016F" w14:textId="1704AA1B" w:rsidR="00E61384" w:rsidRDefault="00745BB1">
      <w:pPr>
        <w:pStyle w:val="12"/>
        <w:rPr>
          <w:rFonts w:asciiTheme="minorHAnsi" w:eastAsiaTheme="minorEastAsia" w:hAnsiTheme="minorHAnsi" w:cstheme="minorBidi"/>
          <w:noProof/>
          <w:sz w:val="21"/>
          <w:szCs w:val="22"/>
        </w:rPr>
      </w:pPr>
      <w:hyperlink w:anchor="_Toc142055720" w:history="1">
        <w:r w:rsidR="0093607B">
          <w:rPr>
            <w:rStyle w:val="af5"/>
            <w:bCs/>
            <w:noProof/>
          </w:rPr>
          <w:t>第十六条 基金托管协议的变更、终止与基金财产的清算</w:t>
        </w:r>
        <w:r w:rsidR="0093607B">
          <w:rPr>
            <w:noProof/>
          </w:rPr>
          <w:tab/>
        </w:r>
        <w:r w:rsidR="0093607B">
          <w:rPr>
            <w:noProof/>
          </w:rPr>
          <w:fldChar w:fldCharType="begin"/>
        </w:r>
        <w:r w:rsidR="0093607B">
          <w:rPr>
            <w:noProof/>
          </w:rPr>
          <w:instrText xml:space="preserve"> PAGEREF _Toc142055720 \h </w:instrText>
        </w:r>
        <w:r w:rsidR="0093607B">
          <w:rPr>
            <w:noProof/>
          </w:rPr>
        </w:r>
        <w:r w:rsidR="0093607B">
          <w:rPr>
            <w:noProof/>
          </w:rPr>
          <w:fldChar w:fldCharType="separate"/>
        </w:r>
        <w:r w:rsidR="00C87D26">
          <w:rPr>
            <w:noProof/>
          </w:rPr>
          <w:t>37</w:t>
        </w:r>
        <w:r w:rsidR="0093607B">
          <w:rPr>
            <w:noProof/>
          </w:rPr>
          <w:fldChar w:fldCharType="end"/>
        </w:r>
      </w:hyperlink>
    </w:p>
    <w:p w14:paraId="5C01FE2D" w14:textId="4ADD0F36" w:rsidR="00E61384" w:rsidRDefault="00745BB1">
      <w:pPr>
        <w:pStyle w:val="12"/>
        <w:rPr>
          <w:rFonts w:asciiTheme="minorHAnsi" w:eastAsiaTheme="minorEastAsia" w:hAnsiTheme="minorHAnsi" w:cstheme="minorBidi"/>
          <w:noProof/>
          <w:sz w:val="21"/>
          <w:szCs w:val="22"/>
        </w:rPr>
      </w:pPr>
      <w:hyperlink w:anchor="_Toc142055721" w:history="1">
        <w:r w:rsidR="0093607B">
          <w:rPr>
            <w:rStyle w:val="af5"/>
            <w:bCs/>
            <w:noProof/>
          </w:rPr>
          <w:t>第十七条 违约责任</w:t>
        </w:r>
        <w:r w:rsidR="0093607B">
          <w:rPr>
            <w:noProof/>
          </w:rPr>
          <w:tab/>
        </w:r>
        <w:r w:rsidR="0093607B">
          <w:rPr>
            <w:noProof/>
          </w:rPr>
          <w:fldChar w:fldCharType="begin"/>
        </w:r>
        <w:r w:rsidR="0093607B">
          <w:rPr>
            <w:noProof/>
          </w:rPr>
          <w:instrText xml:space="preserve"> PAGEREF _Toc142055721 \h </w:instrText>
        </w:r>
        <w:r w:rsidR="0093607B">
          <w:rPr>
            <w:noProof/>
          </w:rPr>
        </w:r>
        <w:r w:rsidR="0093607B">
          <w:rPr>
            <w:noProof/>
          </w:rPr>
          <w:fldChar w:fldCharType="separate"/>
        </w:r>
        <w:r w:rsidR="00C87D26">
          <w:rPr>
            <w:noProof/>
          </w:rPr>
          <w:t>39</w:t>
        </w:r>
        <w:r w:rsidR="0093607B">
          <w:rPr>
            <w:noProof/>
          </w:rPr>
          <w:fldChar w:fldCharType="end"/>
        </w:r>
      </w:hyperlink>
    </w:p>
    <w:p w14:paraId="5380F21E" w14:textId="3AEA0541" w:rsidR="00E61384" w:rsidRDefault="00745BB1">
      <w:pPr>
        <w:pStyle w:val="12"/>
        <w:rPr>
          <w:rFonts w:asciiTheme="minorHAnsi" w:eastAsiaTheme="minorEastAsia" w:hAnsiTheme="minorHAnsi" w:cstheme="minorBidi"/>
          <w:noProof/>
          <w:sz w:val="21"/>
          <w:szCs w:val="22"/>
        </w:rPr>
      </w:pPr>
      <w:hyperlink w:anchor="_Toc142055722" w:history="1">
        <w:r w:rsidR="0093607B">
          <w:rPr>
            <w:rStyle w:val="af5"/>
            <w:bCs/>
            <w:noProof/>
          </w:rPr>
          <w:t>第十八条 争议解决方式</w:t>
        </w:r>
        <w:r w:rsidR="0093607B">
          <w:rPr>
            <w:noProof/>
          </w:rPr>
          <w:tab/>
        </w:r>
        <w:r w:rsidR="0093607B">
          <w:rPr>
            <w:noProof/>
          </w:rPr>
          <w:fldChar w:fldCharType="begin"/>
        </w:r>
        <w:r w:rsidR="0093607B">
          <w:rPr>
            <w:noProof/>
          </w:rPr>
          <w:instrText xml:space="preserve"> PAGEREF _Toc142055722 \h </w:instrText>
        </w:r>
        <w:r w:rsidR="0093607B">
          <w:rPr>
            <w:noProof/>
          </w:rPr>
        </w:r>
        <w:r w:rsidR="0093607B">
          <w:rPr>
            <w:noProof/>
          </w:rPr>
          <w:fldChar w:fldCharType="separate"/>
        </w:r>
        <w:r w:rsidR="00C87D26">
          <w:rPr>
            <w:noProof/>
          </w:rPr>
          <w:t>40</w:t>
        </w:r>
        <w:r w:rsidR="0093607B">
          <w:rPr>
            <w:noProof/>
          </w:rPr>
          <w:fldChar w:fldCharType="end"/>
        </w:r>
      </w:hyperlink>
    </w:p>
    <w:p w14:paraId="14D546B6" w14:textId="0CBC37E1" w:rsidR="00E61384" w:rsidRDefault="00745BB1">
      <w:pPr>
        <w:pStyle w:val="12"/>
        <w:rPr>
          <w:rFonts w:asciiTheme="minorHAnsi" w:eastAsiaTheme="minorEastAsia" w:hAnsiTheme="minorHAnsi" w:cstheme="minorBidi"/>
          <w:noProof/>
          <w:sz w:val="21"/>
          <w:szCs w:val="22"/>
        </w:rPr>
      </w:pPr>
      <w:hyperlink w:anchor="_Toc142055723" w:history="1">
        <w:r w:rsidR="0093607B">
          <w:rPr>
            <w:rStyle w:val="af5"/>
            <w:bCs/>
            <w:noProof/>
          </w:rPr>
          <w:t>第十九条 基金托管协议的效力</w:t>
        </w:r>
        <w:r w:rsidR="0093607B">
          <w:rPr>
            <w:noProof/>
          </w:rPr>
          <w:tab/>
        </w:r>
        <w:r w:rsidR="0093607B">
          <w:rPr>
            <w:noProof/>
          </w:rPr>
          <w:fldChar w:fldCharType="begin"/>
        </w:r>
        <w:r w:rsidR="0093607B">
          <w:rPr>
            <w:noProof/>
          </w:rPr>
          <w:instrText xml:space="preserve"> PAGEREF _Toc142055723 \h </w:instrText>
        </w:r>
        <w:r w:rsidR="0093607B">
          <w:rPr>
            <w:noProof/>
          </w:rPr>
        </w:r>
        <w:r w:rsidR="0093607B">
          <w:rPr>
            <w:noProof/>
          </w:rPr>
          <w:fldChar w:fldCharType="separate"/>
        </w:r>
        <w:r w:rsidR="00C87D26">
          <w:rPr>
            <w:noProof/>
          </w:rPr>
          <w:t>40</w:t>
        </w:r>
        <w:r w:rsidR="0093607B">
          <w:rPr>
            <w:noProof/>
          </w:rPr>
          <w:fldChar w:fldCharType="end"/>
        </w:r>
      </w:hyperlink>
    </w:p>
    <w:p w14:paraId="5506777A" w14:textId="5DEDE9DD" w:rsidR="00E61384" w:rsidRDefault="00745BB1">
      <w:pPr>
        <w:pStyle w:val="12"/>
        <w:rPr>
          <w:rFonts w:asciiTheme="minorHAnsi" w:eastAsiaTheme="minorEastAsia" w:hAnsiTheme="minorHAnsi" w:cstheme="minorBidi"/>
          <w:noProof/>
          <w:sz w:val="21"/>
          <w:szCs w:val="22"/>
        </w:rPr>
      </w:pPr>
      <w:hyperlink w:anchor="_Toc142055724" w:history="1">
        <w:r w:rsidR="0093607B">
          <w:rPr>
            <w:rStyle w:val="af5"/>
            <w:bCs/>
            <w:noProof/>
          </w:rPr>
          <w:t>第二十条 基金托管协议的签订</w:t>
        </w:r>
        <w:r w:rsidR="0093607B">
          <w:rPr>
            <w:noProof/>
          </w:rPr>
          <w:tab/>
        </w:r>
        <w:r w:rsidR="0093607B">
          <w:rPr>
            <w:noProof/>
          </w:rPr>
          <w:fldChar w:fldCharType="begin"/>
        </w:r>
        <w:r w:rsidR="0093607B">
          <w:rPr>
            <w:noProof/>
          </w:rPr>
          <w:instrText xml:space="preserve"> PAGEREF _Toc142055724 \h </w:instrText>
        </w:r>
        <w:r w:rsidR="0093607B">
          <w:rPr>
            <w:noProof/>
          </w:rPr>
        </w:r>
        <w:r w:rsidR="0093607B">
          <w:rPr>
            <w:noProof/>
          </w:rPr>
          <w:fldChar w:fldCharType="separate"/>
        </w:r>
        <w:r w:rsidR="00C87D26">
          <w:rPr>
            <w:noProof/>
          </w:rPr>
          <w:t>41</w:t>
        </w:r>
        <w:r w:rsidR="0093607B">
          <w:rPr>
            <w:noProof/>
          </w:rPr>
          <w:fldChar w:fldCharType="end"/>
        </w:r>
      </w:hyperlink>
    </w:p>
    <w:p w14:paraId="74226878" w14:textId="0C9321B3" w:rsidR="00E61384" w:rsidRDefault="00745BB1">
      <w:pPr>
        <w:pStyle w:val="12"/>
        <w:rPr>
          <w:rFonts w:asciiTheme="minorHAnsi" w:eastAsiaTheme="minorEastAsia" w:hAnsiTheme="minorHAnsi" w:cstheme="minorBidi"/>
          <w:noProof/>
          <w:sz w:val="21"/>
          <w:szCs w:val="22"/>
        </w:rPr>
      </w:pPr>
      <w:hyperlink w:anchor="_Toc142055725" w:history="1">
        <w:r w:rsidR="0093607B">
          <w:rPr>
            <w:rStyle w:val="af5"/>
            <w:bCs/>
            <w:noProof/>
          </w:rPr>
          <w:t>第二十一条 不可抗力</w:t>
        </w:r>
        <w:r w:rsidR="0093607B">
          <w:rPr>
            <w:noProof/>
          </w:rPr>
          <w:tab/>
        </w:r>
        <w:r w:rsidR="0093607B">
          <w:rPr>
            <w:noProof/>
          </w:rPr>
          <w:fldChar w:fldCharType="begin"/>
        </w:r>
        <w:r w:rsidR="0093607B">
          <w:rPr>
            <w:noProof/>
          </w:rPr>
          <w:instrText xml:space="preserve"> PAGEREF _Toc142055725 \h </w:instrText>
        </w:r>
        <w:r w:rsidR="0093607B">
          <w:rPr>
            <w:noProof/>
          </w:rPr>
        </w:r>
        <w:r w:rsidR="0093607B">
          <w:rPr>
            <w:noProof/>
          </w:rPr>
          <w:fldChar w:fldCharType="separate"/>
        </w:r>
        <w:r w:rsidR="00C87D26">
          <w:rPr>
            <w:noProof/>
          </w:rPr>
          <w:t>41</w:t>
        </w:r>
        <w:r w:rsidR="0093607B">
          <w:rPr>
            <w:noProof/>
          </w:rPr>
          <w:fldChar w:fldCharType="end"/>
        </w:r>
      </w:hyperlink>
    </w:p>
    <w:p w14:paraId="670ECC09" w14:textId="77A2F69B" w:rsidR="00E61384" w:rsidRDefault="00745BB1">
      <w:pPr>
        <w:pStyle w:val="12"/>
        <w:rPr>
          <w:rFonts w:asciiTheme="minorHAnsi" w:eastAsiaTheme="minorEastAsia" w:hAnsiTheme="minorHAnsi" w:cstheme="minorBidi"/>
          <w:noProof/>
          <w:sz w:val="21"/>
          <w:szCs w:val="22"/>
        </w:rPr>
      </w:pPr>
      <w:hyperlink w:anchor="_Toc142055726" w:history="1">
        <w:r w:rsidR="0093607B">
          <w:rPr>
            <w:rStyle w:val="af5"/>
            <w:bCs/>
            <w:noProof/>
          </w:rPr>
          <w:t>第二十二条 可分割性</w:t>
        </w:r>
        <w:r w:rsidR="0093607B">
          <w:rPr>
            <w:noProof/>
          </w:rPr>
          <w:tab/>
        </w:r>
        <w:r w:rsidR="0093607B">
          <w:rPr>
            <w:noProof/>
          </w:rPr>
          <w:fldChar w:fldCharType="begin"/>
        </w:r>
        <w:r w:rsidR="0093607B">
          <w:rPr>
            <w:noProof/>
          </w:rPr>
          <w:instrText xml:space="preserve"> PAGEREF _Toc142055726 \h </w:instrText>
        </w:r>
        <w:r w:rsidR="0093607B">
          <w:rPr>
            <w:noProof/>
          </w:rPr>
        </w:r>
        <w:r w:rsidR="0093607B">
          <w:rPr>
            <w:noProof/>
          </w:rPr>
          <w:fldChar w:fldCharType="separate"/>
        </w:r>
        <w:r w:rsidR="00C87D26">
          <w:rPr>
            <w:noProof/>
          </w:rPr>
          <w:t>41</w:t>
        </w:r>
        <w:r w:rsidR="0093607B">
          <w:rPr>
            <w:noProof/>
          </w:rPr>
          <w:fldChar w:fldCharType="end"/>
        </w:r>
      </w:hyperlink>
    </w:p>
    <w:p w14:paraId="3DB66CA1" w14:textId="1E79E24E" w:rsidR="00E61384" w:rsidRDefault="00745BB1">
      <w:pPr>
        <w:pStyle w:val="12"/>
        <w:rPr>
          <w:rFonts w:asciiTheme="minorHAnsi" w:eastAsiaTheme="minorEastAsia" w:hAnsiTheme="minorHAnsi" w:cstheme="minorBidi"/>
          <w:noProof/>
          <w:sz w:val="21"/>
          <w:szCs w:val="22"/>
        </w:rPr>
      </w:pPr>
      <w:hyperlink w:anchor="_Toc142055727" w:history="1">
        <w:r w:rsidR="0093607B">
          <w:rPr>
            <w:rStyle w:val="af5"/>
            <w:bCs/>
            <w:noProof/>
          </w:rPr>
          <w:t>第二十三条 通知与送达</w:t>
        </w:r>
        <w:r w:rsidR="0093607B">
          <w:rPr>
            <w:noProof/>
          </w:rPr>
          <w:tab/>
        </w:r>
        <w:r w:rsidR="0093607B">
          <w:rPr>
            <w:noProof/>
          </w:rPr>
          <w:fldChar w:fldCharType="begin"/>
        </w:r>
        <w:r w:rsidR="0093607B">
          <w:rPr>
            <w:noProof/>
          </w:rPr>
          <w:instrText xml:space="preserve"> PAGEREF _Toc142055727 \h </w:instrText>
        </w:r>
        <w:r w:rsidR="0093607B">
          <w:rPr>
            <w:noProof/>
          </w:rPr>
        </w:r>
        <w:r w:rsidR="0093607B">
          <w:rPr>
            <w:noProof/>
          </w:rPr>
          <w:fldChar w:fldCharType="separate"/>
        </w:r>
        <w:r w:rsidR="00C87D26">
          <w:rPr>
            <w:noProof/>
          </w:rPr>
          <w:t>42</w:t>
        </w:r>
        <w:r w:rsidR="0093607B">
          <w:rPr>
            <w:noProof/>
          </w:rPr>
          <w:fldChar w:fldCharType="end"/>
        </w:r>
      </w:hyperlink>
    </w:p>
    <w:p w14:paraId="1A7243E4" w14:textId="77777777" w:rsidR="00E61384" w:rsidRDefault="0093607B">
      <w:pPr>
        <w:snapToGrid w:val="0"/>
        <w:spacing w:line="360" w:lineRule="auto"/>
        <w:jc w:val="center"/>
        <w:rPr>
          <w:rFonts w:ascii="宋体" w:hAnsi="宋体"/>
          <w:b/>
          <w:sz w:val="28"/>
          <w:szCs w:val="28"/>
        </w:rPr>
        <w:sectPr w:rsidR="00E61384">
          <w:footerReference w:type="default" r:id="rId12"/>
          <w:footerReference w:type="first" r:id="rId13"/>
          <w:pgSz w:w="11907" w:h="16840"/>
          <w:pgMar w:top="1090" w:right="1678" w:bottom="935" w:left="1678" w:header="720" w:footer="720" w:gutter="0"/>
          <w:pgNumType w:start="1"/>
          <w:cols w:space="720"/>
        </w:sectPr>
      </w:pPr>
      <w:r>
        <w:rPr>
          <w:rFonts w:ascii="宋体" w:hAnsi="宋体"/>
          <w:b/>
          <w:sz w:val="28"/>
          <w:szCs w:val="28"/>
        </w:rPr>
        <w:fldChar w:fldCharType="end"/>
      </w:r>
    </w:p>
    <w:p w14:paraId="2CA34EC8" w14:textId="77777777" w:rsidR="00E60A25" w:rsidRDefault="00BC0C4E">
      <w:pPr>
        <w:snapToGrid w:val="0"/>
        <w:spacing w:line="360" w:lineRule="auto"/>
        <w:jc w:val="center"/>
        <w:rPr>
          <w:rFonts w:ascii="宋体" w:hAnsi="宋体"/>
          <w:b/>
          <w:sz w:val="28"/>
          <w:szCs w:val="28"/>
        </w:rPr>
      </w:pPr>
      <w:r>
        <w:rPr>
          <w:rFonts w:ascii="宋体" w:hAnsi="宋体" w:hint="eastAsia"/>
          <w:b/>
          <w:sz w:val="28"/>
          <w:szCs w:val="28"/>
        </w:rPr>
        <w:lastRenderedPageBreak/>
        <w:t>银华</w:t>
      </w:r>
      <w:r w:rsidR="0093607B">
        <w:rPr>
          <w:rFonts w:ascii="宋体" w:hAnsi="宋体" w:hint="eastAsia"/>
          <w:b/>
          <w:sz w:val="28"/>
          <w:szCs w:val="28"/>
        </w:rPr>
        <w:t>中证AAA科技创新公司债交易型开放式指数证券投资基金</w:t>
      </w:r>
    </w:p>
    <w:p w14:paraId="1012170A" w14:textId="77777777" w:rsidR="00E61384" w:rsidRDefault="0093607B">
      <w:pPr>
        <w:snapToGrid w:val="0"/>
        <w:spacing w:line="360" w:lineRule="auto"/>
        <w:jc w:val="center"/>
        <w:rPr>
          <w:rFonts w:ascii="宋体" w:hAnsi="宋体"/>
          <w:b/>
          <w:sz w:val="28"/>
          <w:szCs w:val="28"/>
        </w:rPr>
      </w:pPr>
      <w:r>
        <w:rPr>
          <w:rFonts w:ascii="宋体" w:hAnsi="宋体" w:hint="eastAsia"/>
          <w:b/>
          <w:sz w:val="28"/>
          <w:szCs w:val="28"/>
        </w:rPr>
        <w:t>托管协议</w:t>
      </w:r>
    </w:p>
    <w:p w14:paraId="210A9FF2" w14:textId="77777777" w:rsidR="00E61384" w:rsidRDefault="00E61384">
      <w:pPr>
        <w:snapToGrid w:val="0"/>
        <w:spacing w:line="360" w:lineRule="auto"/>
        <w:jc w:val="center"/>
        <w:rPr>
          <w:rFonts w:ascii="宋体" w:hAnsi="宋体"/>
          <w:b/>
          <w:sz w:val="28"/>
          <w:szCs w:val="28"/>
        </w:rPr>
      </w:pPr>
    </w:p>
    <w:p w14:paraId="2FA6BB11" w14:textId="77777777" w:rsidR="00BC0C4E" w:rsidRPr="00F5530F" w:rsidRDefault="00BC0C4E" w:rsidP="00BC0C4E">
      <w:pPr>
        <w:tabs>
          <w:tab w:val="left" w:pos="5940"/>
        </w:tabs>
        <w:snapToGrid w:val="0"/>
        <w:spacing w:line="360" w:lineRule="auto"/>
        <w:rPr>
          <w:rFonts w:ascii="宋体" w:hAnsi="宋体"/>
          <w:b/>
          <w:sz w:val="24"/>
          <w:szCs w:val="24"/>
        </w:rPr>
      </w:pPr>
      <w:r w:rsidRPr="00F5530F">
        <w:rPr>
          <w:rFonts w:ascii="宋体" w:hAnsi="宋体" w:hint="eastAsia"/>
          <w:b/>
          <w:sz w:val="24"/>
          <w:szCs w:val="24"/>
        </w:rPr>
        <w:t>基金管理人：</w:t>
      </w:r>
      <w:r>
        <w:rPr>
          <w:rFonts w:ascii="宋体" w:hAnsi="宋体" w:hint="eastAsia"/>
          <w:b/>
          <w:sz w:val="24"/>
          <w:szCs w:val="24"/>
        </w:rPr>
        <w:t>银华基金管理股份有限公司</w:t>
      </w:r>
    </w:p>
    <w:p w14:paraId="2A633ED6" w14:textId="77777777" w:rsidR="00BC0C4E" w:rsidRPr="00F5530F" w:rsidRDefault="00BC0C4E" w:rsidP="00BC0C4E">
      <w:pPr>
        <w:snapToGrid w:val="0"/>
        <w:spacing w:line="360" w:lineRule="auto"/>
        <w:rPr>
          <w:rFonts w:ascii="宋体" w:hAnsi="宋体"/>
          <w:sz w:val="24"/>
          <w:szCs w:val="24"/>
        </w:rPr>
      </w:pPr>
      <w:r w:rsidRPr="00F5530F">
        <w:rPr>
          <w:rFonts w:ascii="宋体" w:hAnsi="宋体" w:hint="eastAsia"/>
          <w:sz w:val="24"/>
          <w:szCs w:val="24"/>
        </w:rPr>
        <w:t>住所：</w:t>
      </w:r>
      <w:r w:rsidRPr="00F3692D">
        <w:rPr>
          <w:rFonts w:ascii="宋体" w:hAnsi="宋体" w:hint="eastAsia"/>
          <w:sz w:val="24"/>
          <w:szCs w:val="24"/>
        </w:rPr>
        <w:t>北京市东城区东长安街1号东方</w:t>
      </w:r>
      <w:proofErr w:type="gramStart"/>
      <w:r w:rsidRPr="00F3692D">
        <w:rPr>
          <w:rFonts w:ascii="宋体" w:hAnsi="宋体" w:hint="eastAsia"/>
          <w:sz w:val="24"/>
          <w:szCs w:val="24"/>
        </w:rPr>
        <w:t>广场东方</w:t>
      </w:r>
      <w:proofErr w:type="gramEnd"/>
      <w:r w:rsidRPr="00F3692D">
        <w:rPr>
          <w:rFonts w:ascii="宋体" w:hAnsi="宋体" w:hint="eastAsia"/>
          <w:sz w:val="24"/>
          <w:szCs w:val="24"/>
        </w:rPr>
        <w:t>经贸城C2办公楼15层</w:t>
      </w:r>
    </w:p>
    <w:p w14:paraId="3C6E7268" w14:textId="77777777" w:rsidR="00BC0C4E" w:rsidRPr="00F5530F" w:rsidRDefault="00BC0C4E" w:rsidP="00BC0C4E">
      <w:pPr>
        <w:snapToGrid w:val="0"/>
        <w:spacing w:line="360" w:lineRule="auto"/>
        <w:rPr>
          <w:rFonts w:ascii="宋体" w:hAnsi="宋体"/>
          <w:sz w:val="24"/>
          <w:szCs w:val="24"/>
        </w:rPr>
      </w:pPr>
      <w:r w:rsidRPr="00F5530F">
        <w:rPr>
          <w:rFonts w:ascii="宋体" w:hAnsi="宋体" w:hint="eastAsia"/>
          <w:sz w:val="24"/>
          <w:szCs w:val="24"/>
        </w:rPr>
        <w:t>邮政编码：</w:t>
      </w:r>
      <w:r w:rsidRPr="00F3692D">
        <w:rPr>
          <w:rFonts w:ascii="宋体" w:hAnsi="宋体"/>
          <w:sz w:val="24"/>
          <w:szCs w:val="24"/>
        </w:rPr>
        <w:t>100738</w:t>
      </w:r>
    </w:p>
    <w:p w14:paraId="7427D160" w14:textId="77777777" w:rsidR="00BC0C4E" w:rsidRPr="00F5530F" w:rsidRDefault="00BC0C4E" w:rsidP="00BC0C4E">
      <w:pPr>
        <w:snapToGrid w:val="0"/>
        <w:spacing w:line="360" w:lineRule="auto"/>
        <w:rPr>
          <w:rFonts w:ascii="宋体" w:hAnsi="宋体"/>
          <w:sz w:val="24"/>
          <w:szCs w:val="24"/>
        </w:rPr>
      </w:pPr>
      <w:r w:rsidRPr="00F5530F">
        <w:rPr>
          <w:rFonts w:ascii="宋体" w:hAnsi="宋体" w:hint="eastAsia"/>
          <w:sz w:val="24"/>
          <w:szCs w:val="24"/>
        </w:rPr>
        <w:t>电话：</w:t>
      </w:r>
      <w:r w:rsidRPr="00F3692D">
        <w:rPr>
          <w:rFonts w:ascii="宋体" w:hAnsi="宋体"/>
          <w:sz w:val="24"/>
          <w:szCs w:val="24"/>
        </w:rPr>
        <w:t>010-58163000</w:t>
      </w:r>
    </w:p>
    <w:p w14:paraId="369848A9" w14:textId="77777777" w:rsidR="00BC0C4E" w:rsidRPr="00F5530F" w:rsidRDefault="00BC0C4E" w:rsidP="00BC0C4E">
      <w:pPr>
        <w:snapToGrid w:val="0"/>
        <w:spacing w:line="360" w:lineRule="auto"/>
        <w:rPr>
          <w:rFonts w:ascii="宋体" w:hAnsi="宋体"/>
          <w:sz w:val="24"/>
          <w:szCs w:val="24"/>
        </w:rPr>
      </w:pPr>
      <w:r w:rsidRPr="00F5530F">
        <w:rPr>
          <w:rFonts w:ascii="宋体" w:hAnsi="宋体" w:hint="eastAsia"/>
          <w:sz w:val="24"/>
          <w:szCs w:val="24"/>
        </w:rPr>
        <w:t>传真：</w:t>
      </w:r>
      <w:r w:rsidRPr="00F3692D">
        <w:rPr>
          <w:rFonts w:ascii="宋体" w:hAnsi="宋体"/>
          <w:sz w:val="24"/>
          <w:szCs w:val="24"/>
        </w:rPr>
        <w:t>010-58163090</w:t>
      </w:r>
    </w:p>
    <w:p w14:paraId="0B284DBF" w14:textId="77777777" w:rsidR="00E61384" w:rsidRDefault="00BC0C4E" w:rsidP="00BC0C4E">
      <w:pPr>
        <w:snapToGrid w:val="0"/>
        <w:spacing w:line="360" w:lineRule="auto"/>
        <w:rPr>
          <w:rFonts w:ascii="宋体" w:hAnsi="宋体"/>
          <w:sz w:val="24"/>
          <w:szCs w:val="24"/>
        </w:rPr>
      </w:pPr>
      <w:r w:rsidRPr="00F5530F">
        <w:rPr>
          <w:rFonts w:ascii="宋体" w:hAnsi="宋体" w:hint="eastAsia"/>
          <w:sz w:val="24"/>
          <w:szCs w:val="24"/>
        </w:rPr>
        <w:t>法定代表人：</w:t>
      </w:r>
      <w:r w:rsidRPr="00F3692D">
        <w:rPr>
          <w:rFonts w:ascii="宋体" w:hAnsi="宋体" w:hint="eastAsia"/>
          <w:sz w:val="24"/>
          <w:szCs w:val="24"/>
        </w:rPr>
        <w:t>王珠林</w:t>
      </w:r>
    </w:p>
    <w:p w14:paraId="243B3D67" w14:textId="77777777" w:rsidR="00E61384" w:rsidRDefault="00E61384">
      <w:pPr>
        <w:snapToGrid w:val="0"/>
        <w:spacing w:line="360" w:lineRule="auto"/>
        <w:rPr>
          <w:rFonts w:ascii="宋体" w:hAnsi="宋体"/>
          <w:sz w:val="24"/>
          <w:szCs w:val="24"/>
        </w:rPr>
      </w:pPr>
    </w:p>
    <w:p w14:paraId="0FAF67EC" w14:textId="77777777" w:rsidR="00E61384" w:rsidRDefault="0093607B">
      <w:pPr>
        <w:tabs>
          <w:tab w:val="left" w:pos="5940"/>
        </w:tabs>
        <w:snapToGrid w:val="0"/>
        <w:spacing w:line="360" w:lineRule="auto"/>
        <w:rPr>
          <w:rFonts w:ascii="宋体" w:hAnsi="宋体"/>
          <w:b/>
          <w:sz w:val="24"/>
          <w:szCs w:val="24"/>
        </w:rPr>
      </w:pPr>
      <w:r>
        <w:rPr>
          <w:rFonts w:ascii="宋体" w:hAnsi="宋体" w:hint="eastAsia"/>
          <w:b/>
          <w:sz w:val="24"/>
          <w:szCs w:val="24"/>
        </w:rPr>
        <w:t xml:space="preserve">基金托管人：中信银行股份有限公司 </w:t>
      </w:r>
    </w:p>
    <w:p w14:paraId="5732717F" w14:textId="77777777" w:rsidR="00E61384" w:rsidRDefault="0093607B">
      <w:pPr>
        <w:snapToGrid w:val="0"/>
        <w:spacing w:line="360" w:lineRule="auto"/>
        <w:rPr>
          <w:rFonts w:ascii="宋体" w:hAnsi="宋体"/>
          <w:sz w:val="24"/>
          <w:szCs w:val="24"/>
        </w:rPr>
      </w:pPr>
      <w:r>
        <w:rPr>
          <w:rFonts w:ascii="宋体" w:hAnsi="宋体" w:hint="eastAsia"/>
          <w:sz w:val="24"/>
          <w:szCs w:val="24"/>
        </w:rPr>
        <w:t>住所：北京市朝阳区光华路10号院1号楼6-30层、32-42层</w:t>
      </w:r>
    </w:p>
    <w:p w14:paraId="4538E7C8" w14:textId="77777777" w:rsidR="00E61384" w:rsidRDefault="0093607B">
      <w:pPr>
        <w:snapToGrid w:val="0"/>
        <w:spacing w:line="360" w:lineRule="auto"/>
        <w:rPr>
          <w:rFonts w:ascii="宋体" w:hAnsi="宋体"/>
          <w:sz w:val="24"/>
          <w:szCs w:val="24"/>
        </w:rPr>
      </w:pPr>
      <w:r>
        <w:rPr>
          <w:rFonts w:ascii="宋体" w:hAnsi="宋体" w:hint="eastAsia"/>
          <w:sz w:val="24"/>
          <w:szCs w:val="24"/>
        </w:rPr>
        <w:t>邮政编码：1000</w:t>
      </w:r>
      <w:r>
        <w:rPr>
          <w:rFonts w:ascii="宋体" w:hAnsi="宋体"/>
          <w:sz w:val="24"/>
          <w:szCs w:val="24"/>
        </w:rPr>
        <w:t>1</w:t>
      </w:r>
      <w:r>
        <w:rPr>
          <w:rFonts w:ascii="宋体" w:hAnsi="宋体" w:hint="eastAsia"/>
          <w:sz w:val="24"/>
          <w:szCs w:val="24"/>
        </w:rPr>
        <w:t>0</w:t>
      </w:r>
    </w:p>
    <w:p w14:paraId="3320CAE9" w14:textId="77777777" w:rsidR="00E61384" w:rsidRDefault="0093607B">
      <w:pPr>
        <w:snapToGrid w:val="0"/>
        <w:spacing w:line="360" w:lineRule="auto"/>
        <w:rPr>
          <w:rFonts w:ascii="宋体" w:hAnsi="宋体"/>
          <w:sz w:val="24"/>
          <w:szCs w:val="24"/>
        </w:rPr>
      </w:pPr>
      <w:r>
        <w:rPr>
          <w:rFonts w:ascii="宋体" w:hAnsi="宋体" w:hint="eastAsia"/>
          <w:sz w:val="24"/>
          <w:szCs w:val="24"/>
        </w:rPr>
        <w:t>电话：4006800000</w:t>
      </w:r>
    </w:p>
    <w:p w14:paraId="0C150BAA" w14:textId="77777777" w:rsidR="00E61384" w:rsidRDefault="0093607B">
      <w:pPr>
        <w:snapToGrid w:val="0"/>
        <w:spacing w:line="360" w:lineRule="auto"/>
        <w:rPr>
          <w:rFonts w:ascii="宋体" w:hAnsi="宋体"/>
          <w:sz w:val="24"/>
          <w:szCs w:val="24"/>
        </w:rPr>
      </w:pPr>
      <w:r>
        <w:rPr>
          <w:rFonts w:ascii="宋体" w:hAnsi="宋体" w:hint="eastAsia"/>
          <w:sz w:val="24"/>
          <w:szCs w:val="24"/>
        </w:rPr>
        <w:t>传真：010-65559281</w:t>
      </w:r>
    </w:p>
    <w:p w14:paraId="1E6D2305" w14:textId="77777777" w:rsidR="00E61384" w:rsidRDefault="0093607B">
      <w:pPr>
        <w:snapToGrid w:val="0"/>
        <w:spacing w:line="360" w:lineRule="auto"/>
        <w:rPr>
          <w:rFonts w:ascii="宋体" w:hAnsi="宋体"/>
          <w:sz w:val="24"/>
          <w:szCs w:val="24"/>
        </w:rPr>
      </w:pPr>
      <w:r>
        <w:rPr>
          <w:rFonts w:ascii="宋体" w:hAnsi="宋体" w:hint="eastAsia"/>
          <w:sz w:val="24"/>
          <w:szCs w:val="24"/>
        </w:rPr>
        <w:t>法定代表人：方合英</w:t>
      </w:r>
    </w:p>
    <w:p w14:paraId="5BE53B60" w14:textId="77777777" w:rsidR="00E61384" w:rsidRDefault="0093607B">
      <w:pPr>
        <w:autoSpaceDE w:val="0"/>
        <w:autoSpaceDN w:val="0"/>
        <w:adjustRightInd w:val="0"/>
        <w:spacing w:line="520" w:lineRule="exact"/>
        <w:rPr>
          <w:rFonts w:ascii="宋体" w:hAnsi="宋体"/>
          <w:b/>
          <w:sz w:val="24"/>
          <w:szCs w:val="24"/>
        </w:rPr>
      </w:pPr>
      <w:r>
        <w:rPr>
          <w:rFonts w:ascii="宋体" w:hAnsi="宋体" w:hint="eastAsia"/>
          <w:b/>
          <w:sz w:val="24"/>
          <w:szCs w:val="24"/>
        </w:rPr>
        <w:t>鉴于：</w:t>
      </w:r>
    </w:p>
    <w:p w14:paraId="0423B37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w:t>
      </w:r>
      <w:r w:rsidR="00F1088C">
        <w:rPr>
          <w:rFonts w:hAnsi="宋体" w:hint="eastAsia"/>
          <w:szCs w:val="24"/>
        </w:rPr>
        <w:t>银华基金管理股份有限公司</w:t>
      </w:r>
      <w:r>
        <w:rPr>
          <w:rFonts w:hAnsi="宋体" w:hint="eastAsia"/>
          <w:szCs w:val="24"/>
        </w:rPr>
        <w:t>系一家依照中国法律合法成立并有效存续的</w:t>
      </w:r>
      <w:r w:rsidR="006C434C">
        <w:rPr>
          <w:rFonts w:hAnsi="宋体" w:hint="eastAsia"/>
          <w:szCs w:val="24"/>
        </w:rPr>
        <w:t>股份</w:t>
      </w:r>
      <w:r>
        <w:rPr>
          <w:rFonts w:hAnsi="宋体" w:hint="eastAsia"/>
          <w:szCs w:val="24"/>
        </w:rPr>
        <w:t>有限公司，按照相关法律法规的规定具备担任基金管理人的资格和能力；</w:t>
      </w:r>
    </w:p>
    <w:p w14:paraId="68A76FD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2.中信银行股份有限公司系一家依照中国法律合法成立并有效存续的银行，按照相关法律法规的规定具备担任基金托管人的资格和能力；</w:t>
      </w:r>
    </w:p>
    <w:p w14:paraId="7A7A154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w:t>
      </w:r>
      <w:r w:rsidR="00F1088C" w:rsidRPr="00F1088C">
        <w:rPr>
          <w:rFonts w:hAnsi="宋体" w:hint="eastAsia"/>
          <w:szCs w:val="24"/>
        </w:rPr>
        <w:t xml:space="preserve"> </w:t>
      </w:r>
      <w:r w:rsidR="00F1088C">
        <w:rPr>
          <w:rFonts w:hAnsi="宋体" w:hint="eastAsia"/>
          <w:szCs w:val="24"/>
        </w:rPr>
        <w:t>银华基金管理股份有限公司</w:t>
      </w:r>
      <w:r>
        <w:rPr>
          <w:rFonts w:hAnsi="宋体" w:hint="eastAsia"/>
          <w:szCs w:val="24"/>
        </w:rPr>
        <w:t>拟担任</w:t>
      </w:r>
      <w:r w:rsidR="00BC0C4E">
        <w:rPr>
          <w:rFonts w:hAnsi="宋体" w:hint="eastAsia"/>
          <w:szCs w:val="24"/>
        </w:rPr>
        <w:t>银华</w:t>
      </w:r>
      <w:r>
        <w:rPr>
          <w:rFonts w:hAnsi="宋体" w:hint="eastAsia"/>
          <w:szCs w:val="24"/>
        </w:rPr>
        <w:t>中证AAA科技创新公司债交易型开放式指数证券投资基金的基金管理人，中信银行股份有限公司拟担任</w:t>
      </w:r>
      <w:r w:rsidR="00BC0C4E">
        <w:rPr>
          <w:rFonts w:hAnsi="宋体" w:hint="eastAsia"/>
          <w:szCs w:val="24"/>
        </w:rPr>
        <w:t>银华</w:t>
      </w:r>
      <w:r>
        <w:rPr>
          <w:rFonts w:hAnsi="宋体" w:hint="eastAsia"/>
          <w:szCs w:val="24"/>
        </w:rPr>
        <w:t>中证AAA科技创新公司债交易型开放式指数证券投资基金的基金托管人；</w:t>
      </w:r>
    </w:p>
    <w:p w14:paraId="388FD30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为明确双方在基金托管中的权利、义务及责任，确保基金财产的安全，保护基金份额持有人的合法权益，依据《中华人民共和国民法典》等法律法规以及相关规定，双方本着平等自愿、诚实守信的原则特签订本协议。</w:t>
      </w:r>
    </w:p>
    <w:p w14:paraId="00A0C730" w14:textId="77777777" w:rsidR="00E61384" w:rsidRDefault="00E61384">
      <w:pPr>
        <w:pStyle w:val="20"/>
        <w:spacing w:before="0" w:after="0" w:line="520" w:lineRule="exact"/>
        <w:ind w:left="0" w:firstLineChars="200" w:firstLine="480"/>
        <w:rPr>
          <w:rFonts w:hAnsi="宋体"/>
          <w:szCs w:val="24"/>
        </w:rPr>
      </w:pPr>
    </w:p>
    <w:p w14:paraId="33061CA8" w14:textId="77777777" w:rsidR="00E61384" w:rsidRDefault="0093607B">
      <w:pPr>
        <w:pStyle w:val="20"/>
        <w:spacing w:before="0" w:after="0" w:line="520" w:lineRule="exact"/>
        <w:ind w:left="0" w:firstLine="541"/>
        <w:rPr>
          <w:rFonts w:hAnsi="宋体"/>
          <w:b/>
          <w:bCs/>
          <w:szCs w:val="24"/>
        </w:rPr>
      </w:pPr>
      <w:r>
        <w:rPr>
          <w:rFonts w:hAnsi="宋体" w:hint="eastAsia"/>
          <w:b/>
          <w:bCs/>
          <w:szCs w:val="24"/>
        </w:rPr>
        <w:lastRenderedPageBreak/>
        <w:t>释义：</w:t>
      </w:r>
    </w:p>
    <w:p w14:paraId="0C8636E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除非另有约定，《</w:t>
      </w:r>
      <w:r w:rsidR="00BC0C4E">
        <w:rPr>
          <w:rFonts w:hAnsi="宋体" w:hint="eastAsia"/>
          <w:szCs w:val="24"/>
        </w:rPr>
        <w:t>银华</w:t>
      </w:r>
      <w:r>
        <w:rPr>
          <w:rFonts w:hAnsi="宋体" w:hint="eastAsia"/>
          <w:szCs w:val="24"/>
        </w:rPr>
        <w:t xml:space="preserve">中证AAA科技创新公司债交易型开放式指数证券投资基金基金合同》(以下简称“基金合同”)中定义的术语在用于本托管协议时应具有相同的含义；若有抵触应以基金合同为准，并依其条款解释。 </w:t>
      </w:r>
    </w:p>
    <w:p w14:paraId="13F5AB34" w14:textId="77777777" w:rsidR="00E61384" w:rsidRDefault="00E61384">
      <w:pPr>
        <w:pStyle w:val="20"/>
        <w:spacing w:before="0" w:after="0" w:line="520" w:lineRule="exact"/>
        <w:ind w:left="0" w:firstLineChars="200" w:firstLine="480"/>
        <w:rPr>
          <w:rFonts w:hAnsi="宋体"/>
          <w:szCs w:val="24"/>
        </w:rPr>
      </w:pPr>
    </w:p>
    <w:p w14:paraId="52B5B335" w14:textId="77777777" w:rsidR="00E61384" w:rsidRDefault="0093607B">
      <w:pPr>
        <w:pStyle w:val="1"/>
        <w:spacing w:line="520" w:lineRule="exact"/>
        <w:ind w:firstLineChars="200" w:firstLine="482"/>
        <w:rPr>
          <w:bCs/>
          <w:color w:val="auto"/>
          <w:szCs w:val="24"/>
        </w:rPr>
      </w:pPr>
      <w:bookmarkStart w:id="11" w:name="_Toc296551337"/>
      <w:bookmarkStart w:id="12" w:name="_Toc4870324"/>
      <w:bookmarkStart w:id="13" w:name="_Toc142055705"/>
      <w:bookmarkStart w:id="14" w:name="_Toc4624"/>
      <w:r>
        <w:rPr>
          <w:rFonts w:hint="eastAsia"/>
          <w:bCs/>
          <w:color w:val="auto"/>
          <w:szCs w:val="24"/>
        </w:rPr>
        <w:t>第一条 基金托管协议当事人</w:t>
      </w:r>
      <w:bookmarkEnd w:id="11"/>
      <w:bookmarkEnd w:id="12"/>
      <w:bookmarkEnd w:id="13"/>
      <w:bookmarkEnd w:id="14"/>
    </w:p>
    <w:p w14:paraId="1FA8DB20" w14:textId="77777777" w:rsidR="00764196" w:rsidRDefault="0093607B" w:rsidP="00764196">
      <w:pPr>
        <w:pStyle w:val="20"/>
        <w:spacing w:before="0" w:after="0" w:line="520" w:lineRule="exact"/>
        <w:ind w:left="0" w:firstLineChars="200" w:firstLine="480"/>
        <w:rPr>
          <w:rFonts w:hAnsi="宋体"/>
          <w:szCs w:val="24"/>
        </w:rPr>
      </w:pPr>
      <w:r>
        <w:rPr>
          <w:rFonts w:hAnsi="宋体" w:hint="eastAsia"/>
          <w:szCs w:val="24"/>
        </w:rPr>
        <w:t>1.1基金管理人：</w:t>
      </w:r>
    </w:p>
    <w:p w14:paraId="2BEB14C5"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名称：</w:t>
      </w:r>
      <w:r w:rsidRPr="0083000D">
        <w:rPr>
          <w:rFonts w:hAnsi="宋体"/>
          <w:szCs w:val="24"/>
        </w:rPr>
        <w:t>银华</w:t>
      </w:r>
      <w:r w:rsidRPr="0083000D">
        <w:rPr>
          <w:rFonts w:hAnsi="宋体" w:hint="eastAsia"/>
          <w:szCs w:val="24"/>
        </w:rPr>
        <w:t>基金管理股份有限公司</w:t>
      </w:r>
    </w:p>
    <w:p w14:paraId="7488A19B"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注册地址：深圳市福田区深南大道6008号特区报业大厦19层</w:t>
      </w:r>
    </w:p>
    <w:p w14:paraId="38ACA18F"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办公地址：北京市东城区东长安街1号东方</w:t>
      </w:r>
      <w:proofErr w:type="gramStart"/>
      <w:r w:rsidRPr="0083000D">
        <w:rPr>
          <w:rFonts w:hAnsi="宋体" w:hint="eastAsia"/>
          <w:szCs w:val="24"/>
        </w:rPr>
        <w:t>广场东方</w:t>
      </w:r>
      <w:proofErr w:type="gramEnd"/>
      <w:r w:rsidRPr="0083000D">
        <w:rPr>
          <w:rFonts w:hAnsi="宋体" w:hint="eastAsia"/>
          <w:szCs w:val="24"/>
        </w:rPr>
        <w:t>经贸城C2办公楼15层</w:t>
      </w:r>
    </w:p>
    <w:p w14:paraId="51BEB44E"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邮政编码：1</w:t>
      </w:r>
      <w:r w:rsidRPr="0083000D">
        <w:rPr>
          <w:rFonts w:hAnsi="宋体"/>
          <w:szCs w:val="24"/>
        </w:rPr>
        <w:t>00738</w:t>
      </w:r>
    </w:p>
    <w:p w14:paraId="1C17E782"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法定代表人：王珠林</w:t>
      </w:r>
    </w:p>
    <w:p w14:paraId="5C193187"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成立日期：2001年5月28日</w:t>
      </w:r>
    </w:p>
    <w:p w14:paraId="4D8DF6F0"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批准设立机关及批准设立文号：中国证监会，证</w:t>
      </w:r>
      <w:proofErr w:type="gramStart"/>
      <w:r w:rsidRPr="0083000D">
        <w:rPr>
          <w:rFonts w:hAnsi="宋体" w:hint="eastAsia"/>
          <w:szCs w:val="24"/>
        </w:rPr>
        <w:t>监基金字</w:t>
      </w:r>
      <w:proofErr w:type="gramEnd"/>
      <w:r w:rsidRPr="0083000D">
        <w:rPr>
          <w:rFonts w:hAnsi="宋体" w:hint="eastAsia"/>
          <w:szCs w:val="24"/>
        </w:rPr>
        <w:t>［2001］7号</w:t>
      </w:r>
    </w:p>
    <w:p w14:paraId="5A47286E"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组织形式：股份有限公司</w:t>
      </w:r>
    </w:p>
    <w:p w14:paraId="76E6FC98"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注册资本：贰亿贰仟贰佰贰拾万元人民币</w:t>
      </w:r>
    </w:p>
    <w:p w14:paraId="16753DFF" w14:textId="77777777" w:rsidR="00764196"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存续期间：持续经营</w:t>
      </w:r>
    </w:p>
    <w:p w14:paraId="2AD80CF8" w14:textId="77777777" w:rsidR="00BC0C4E" w:rsidRDefault="00BC0C4E" w:rsidP="00764196">
      <w:pPr>
        <w:pStyle w:val="20"/>
        <w:spacing w:before="0" w:after="0" w:line="520" w:lineRule="exact"/>
        <w:ind w:left="0" w:firstLineChars="200" w:firstLine="480"/>
        <w:rPr>
          <w:rFonts w:hAnsi="宋体"/>
          <w:szCs w:val="24"/>
        </w:rPr>
      </w:pPr>
      <w:r w:rsidRPr="0083000D">
        <w:rPr>
          <w:rFonts w:hAnsi="宋体" w:hint="eastAsia"/>
          <w:szCs w:val="24"/>
        </w:rPr>
        <w:t>经营范围：基金募集、基金销售、资产管理、中国证监会许可的其他业务</w:t>
      </w:r>
    </w:p>
    <w:p w14:paraId="3D765BD0" w14:textId="77777777" w:rsidR="00E61384" w:rsidRDefault="0093607B" w:rsidP="00BC0C4E">
      <w:pPr>
        <w:pStyle w:val="20"/>
        <w:spacing w:before="0" w:after="0" w:line="520" w:lineRule="exact"/>
        <w:ind w:left="0" w:firstLineChars="200" w:firstLine="480"/>
        <w:rPr>
          <w:rFonts w:hAnsi="宋体"/>
          <w:szCs w:val="24"/>
        </w:rPr>
      </w:pPr>
      <w:r>
        <w:rPr>
          <w:rFonts w:hAnsi="宋体" w:hint="eastAsia"/>
          <w:szCs w:val="24"/>
        </w:rPr>
        <w:t>1.2基金托管人：</w:t>
      </w:r>
    </w:p>
    <w:p w14:paraId="00AD0C9D" w14:textId="77777777" w:rsidR="00764196" w:rsidRDefault="0093607B" w:rsidP="00764196">
      <w:pPr>
        <w:pStyle w:val="20"/>
        <w:spacing w:line="520" w:lineRule="exact"/>
        <w:ind w:firstLineChars="36" w:firstLine="86"/>
        <w:rPr>
          <w:rFonts w:hAnsi="宋体"/>
          <w:szCs w:val="24"/>
        </w:rPr>
      </w:pPr>
      <w:r>
        <w:rPr>
          <w:rFonts w:hAnsi="宋体" w:hint="eastAsia"/>
          <w:szCs w:val="24"/>
        </w:rPr>
        <w:t>名称：中信银行股份有限公司</w:t>
      </w:r>
    </w:p>
    <w:p w14:paraId="09C9928B" w14:textId="77777777" w:rsidR="00E61384" w:rsidRDefault="0093607B" w:rsidP="00764196">
      <w:pPr>
        <w:pStyle w:val="20"/>
        <w:spacing w:line="520" w:lineRule="exact"/>
        <w:ind w:firstLineChars="36" w:firstLine="86"/>
        <w:rPr>
          <w:rFonts w:hAnsi="宋体"/>
          <w:szCs w:val="24"/>
        </w:rPr>
      </w:pPr>
      <w:r>
        <w:rPr>
          <w:rFonts w:hAnsi="宋体" w:hint="eastAsia"/>
          <w:szCs w:val="24"/>
        </w:rPr>
        <w:t>住所：北京市朝阳区光华路10号院1号楼6-30层、32-42层</w:t>
      </w:r>
    </w:p>
    <w:p w14:paraId="1507981F" w14:textId="77777777" w:rsidR="00E61384" w:rsidRDefault="0093607B">
      <w:pPr>
        <w:pStyle w:val="20"/>
        <w:spacing w:line="520" w:lineRule="exact"/>
        <w:ind w:firstLineChars="36" w:firstLine="86"/>
        <w:rPr>
          <w:rFonts w:hAnsi="宋体"/>
          <w:szCs w:val="24"/>
        </w:rPr>
      </w:pPr>
      <w:r>
        <w:rPr>
          <w:rFonts w:hAnsi="宋体" w:hint="eastAsia"/>
          <w:szCs w:val="24"/>
        </w:rPr>
        <w:t>法定代表人：方合英</w:t>
      </w:r>
    </w:p>
    <w:p w14:paraId="5F639006" w14:textId="77777777" w:rsidR="00E61384" w:rsidRDefault="0093607B">
      <w:pPr>
        <w:pStyle w:val="20"/>
        <w:spacing w:line="520" w:lineRule="exact"/>
        <w:ind w:firstLineChars="36" w:firstLine="86"/>
        <w:rPr>
          <w:rFonts w:hAnsi="宋体"/>
          <w:szCs w:val="24"/>
        </w:rPr>
      </w:pPr>
      <w:r>
        <w:rPr>
          <w:rFonts w:hAnsi="宋体" w:hint="eastAsia"/>
          <w:szCs w:val="24"/>
        </w:rPr>
        <w:t>成立时间：1987年4月20日</w:t>
      </w:r>
    </w:p>
    <w:p w14:paraId="09992590" w14:textId="77777777" w:rsidR="00E61384" w:rsidRDefault="0093607B">
      <w:pPr>
        <w:pStyle w:val="20"/>
        <w:spacing w:line="520" w:lineRule="exact"/>
        <w:ind w:firstLineChars="36" w:firstLine="86"/>
        <w:rPr>
          <w:rFonts w:hAnsi="宋体"/>
          <w:szCs w:val="24"/>
        </w:rPr>
      </w:pPr>
      <w:r>
        <w:rPr>
          <w:rFonts w:hAnsi="宋体" w:hint="eastAsia"/>
          <w:szCs w:val="24"/>
        </w:rPr>
        <w:t>批准设立机关和批准设立文号：中华人民共和国国务院办公厅国办函[1987]14号</w:t>
      </w:r>
    </w:p>
    <w:p w14:paraId="5342CC58" w14:textId="77777777" w:rsidR="00E61384" w:rsidRDefault="0093607B">
      <w:pPr>
        <w:pStyle w:val="20"/>
        <w:spacing w:line="520" w:lineRule="exact"/>
        <w:ind w:firstLineChars="36" w:firstLine="86"/>
        <w:rPr>
          <w:rFonts w:hAnsi="宋体"/>
          <w:szCs w:val="24"/>
        </w:rPr>
      </w:pPr>
      <w:r>
        <w:rPr>
          <w:rFonts w:hAnsi="宋体" w:hint="eastAsia"/>
          <w:szCs w:val="24"/>
        </w:rPr>
        <w:t>基金托管业务批准文号：</w:t>
      </w:r>
      <w:r>
        <w:rPr>
          <w:color w:val="000000"/>
          <w:szCs w:val="28"/>
        </w:rPr>
        <w:t>中国证监会</w:t>
      </w:r>
      <w:r>
        <w:rPr>
          <w:rFonts w:hAnsi="宋体" w:hint="eastAsia"/>
          <w:szCs w:val="24"/>
        </w:rPr>
        <w:t>证</w:t>
      </w:r>
      <w:proofErr w:type="gramStart"/>
      <w:r>
        <w:rPr>
          <w:rFonts w:hAnsi="宋体" w:hint="eastAsia"/>
          <w:szCs w:val="24"/>
        </w:rPr>
        <w:t>监基金字</w:t>
      </w:r>
      <w:proofErr w:type="gramEnd"/>
      <w:r>
        <w:rPr>
          <w:rFonts w:hAnsi="宋体" w:hint="eastAsia"/>
          <w:szCs w:val="24"/>
        </w:rPr>
        <w:t>[2004]125号</w:t>
      </w:r>
    </w:p>
    <w:p w14:paraId="44A62D4D" w14:textId="77777777" w:rsidR="00E61384" w:rsidRDefault="0093607B">
      <w:pPr>
        <w:pStyle w:val="20"/>
        <w:spacing w:line="520" w:lineRule="exact"/>
        <w:ind w:firstLineChars="36" w:firstLine="86"/>
        <w:rPr>
          <w:rFonts w:hAnsi="宋体"/>
          <w:szCs w:val="24"/>
        </w:rPr>
      </w:pPr>
      <w:r>
        <w:rPr>
          <w:rFonts w:hAnsi="宋体" w:hint="eastAsia"/>
          <w:szCs w:val="24"/>
        </w:rPr>
        <w:lastRenderedPageBreak/>
        <w:t>组织形式：股份有限公司</w:t>
      </w:r>
    </w:p>
    <w:p w14:paraId="3624BAF0" w14:textId="77777777" w:rsidR="00E61384" w:rsidRDefault="0093607B">
      <w:pPr>
        <w:pStyle w:val="20"/>
        <w:spacing w:line="520" w:lineRule="exact"/>
        <w:ind w:firstLineChars="36" w:firstLine="86"/>
        <w:rPr>
          <w:rFonts w:hAnsi="宋体"/>
          <w:szCs w:val="24"/>
        </w:rPr>
      </w:pPr>
      <w:r>
        <w:rPr>
          <w:rFonts w:hAnsi="宋体" w:hint="eastAsia"/>
          <w:szCs w:val="24"/>
        </w:rPr>
        <w:t>注册资本：489.35亿元人民币</w:t>
      </w:r>
    </w:p>
    <w:p w14:paraId="3A246C78" w14:textId="77777777" w:rsidR="00E61384" w:rsidRDefault="0093607B">
      <w:pPr>
        <w:pStyle w:val="20"/>
        <w:spacing w:line="520" w:lineRule="exact"/>
        <w:ind w:firstLineChars="36" w:firstLine="86"/>
        <w:rPr>
          <w:rFonts w:hAnsi="宋体"/>
          <w:szCs w:val="24"/>
        </w:rPr>
      </w:pPr>
      <w:r>
        <w:rPr>
          <w:rFonts w:hAnsi="宋体" w:hint="eastAsia"/>
          <w:szCs w:val="24"/>
        </w:rPr>
        <w:t>存续期间：持续经营</w:t>
      </w:r>
    </w:p>
    <w:p w14:paraId="226204E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市场主体依法自主选择经营项目，开展经营活动；依法须经批准的项目，经相关部门批准后依批准的内容开展经营活动；不得从事国家和本市产业政策禁止和限制类项目的经营活动。）</w:t>
      </w:r>
    </w:p>
    <w:p w14:paraId="25639698" w14:textId="77777777" w:rsidR="00E61384" w:rsidRDefault="00E61384">
      <w:pPr>
        <w:pStyle w:val="20"/>
        <w:spacing w:before="0" w:after="0" w:line="520" w:lineRule="exact"/>
        <w:ind w:left="0" w:firstLineChars="200" w:firstLine="480"/>
        <w:rPr>
          <w:rFonts w:hAnsi="宋体"/>
          <w:szCs w:val="24"/>
        </w:rPr>
      </w:pPr>
    </w:p>
    <w:p w14:paraId="78951C48" w14:textId="77777777" w:rsidR="00E61384" w:rsidRDefault="0093607B">
      <w:pPr>
        <w:pStyle w:val="1"/>
        <w:spacing w:line="520" w:lineRule="exact"/>
        <w:ind w:firstLineChars="200" w:firstLine="482"/>
        <w:rPr>
          <w:bCs/>
          <w:color w:val="auto"/>
          <w:szCs w:val="24"/>
        </w:rPr>
      </w:pPr>
      <w:bookmarkStart w:id="15" w:name="_Toc142055706"/>
      <w:bookmarkStart w:id="16" w:name="_Toc6589"/>
      <w:bookmarkStart w:id="17" w:name="_Toc4870325"/>
      <w:bookmarkStart w:id="18" w:name="_Toc296551338"/>
      <w:r>
        <w:rPr>
          <w:rFonts w:hint="eastAsia"/>
          <w:bCs/>
          <w:color w:val="auto"/>
          <w:szCs w:val="24"/>
        </w:rPr>
        <w:t>第二条 基金托管协议的依据、目的和原则</w:t>
      </w:r>
      <w:bookmarkEnd w:id="15"/>
      <w:bookmarkEnd w:id="16"/>
      <w:bookmarkEnd w:id="17"/>
      <w:bookmarkEnd w:id="18"/>
    </w:p>
    <w:p w14:paraId="0B6AF8E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2.1基金托管协议的依据</w:t>
      </w:r>
    </w:p>
    <w:p w14:paraId="21DBB4C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订立本协议的依据是《中华人民共和国民法典》、《中华人民共和国证券投资基金法》（以下简称“《基金法》”）、《公开募集证券投资基金运作管理办法》（以下简称“《运作办法》”）、《公开募集证券投资基金销售机构监督管理办法》（以下简称“《销售办法》”）、《公开</w:t>
      </w:r>
      <w:r>
        <w:rPr>
          <w:rFonts w:hAnsi="宋体"/>
          <w:szCs w:val="24"/>
        </w:rPr>
        <w:t>募集</w:t>
      </w:r>
      <w:r>
        <w:rPr>
          <w:rFonts w:hAnsi="宋体" w:hint="eastAsia"/>
          <w:szCs w:val="24"/>
        </w:rPr>
        <w:t>证券投资基金信息披露管理办法》（以下简称“《信息披露办法》”）、</w:t>
      </w:r>
      <w:r>
        <w:rPr>
          <w:rFonts w:hint="eastAsia"/>
          <w:bCs/>
        </w:rPr>
        <w:t>《公开募集开放式证券投资基金流动性风险管理规定》（以下简称“《流动性风险管理规定》”）</w:t>
      </w:r>
      <w:r w:rsidR="006C434C" w:rsidRPr="006C434C">
        <w:rPr>
          <w:rFonts w:hint="eastAsia"/>
          <w:bCs/>
        </w:rPr>
        <w:t>、《公开募集证券投资基金运作指引第3号——指数基金指引》</w:t>
      </w:r>
      <w:r>
        <w:rPr>
          <w:rFonts w:hint="eastAsia"/>
          <w:bCs/>
        </w:rPr>
        <w:t>、</w:t>
      </w:r>
      <w:r>
        <w:rPr>
          <w:rFonts w:hAnsi="宋体" w:hint="eastAsia"/>
          <w:szCs w:val="24"/>
        </w:rPr>
        <w:t>《证券投资基金信息披露内容与格式准则第7号〈托管协议的内容与格式〉》、《</w:t>
      </w:r>
      <w:r w:rsidR="00BC0C4E">
        <w:rPr>
          <w:rFonts w:hAnsi="宋体" w:hint="eastAsia"/>
          <w:szCs w:val="24"/>
        </w:rPr>
        <w:t>银华</w:t>
      </w:r>
      <w:r>
        <w:rPr>
          <w:rFonts w:hAnsi="宋体" w:hint="eastAsia"/>
          <w:szCs w:val="24"/>
        </w:rPr>
        <w:t>中证AAA科技创新公司债交易型开放式指数证券投资基金基金合同》（以下简称“基金合同”）及其他有关规定。</w:t>
      </w:r>
    </w:p>
    <w:p w14:paraId="04B2D74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2.2基金托管协议的目的</w:t>
      </w:r>
    </w:p>
    <w:p w14:paraId="5BF8FC2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订立本协议的目的是明确基金托管人与基金管理人之间在基金财产的保管、</w:t>
      </w:r>
      <w:r>
        <w:rPr>
          <w:rFonts w:hAnsi="宋体" w:hint="eastAsia"/>
          <w:szCs w:val="24"/>
        </w:rPr>
        <w:lastRenderedPageBreak/>
        <w:t>投资运作、净值计算、收益分配、信息披露及相互监督等有关事宜中的权利、义务及职责，确保基金财产的安全，保护基金份额持有人的合法权益。</w:t>
      </w:r>
    </w:p>
    <w:p w14:paraId="79EF5E8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2.3基金托管协议的原则</w:t>
      </w:r>
    </w:p>
    <w:p w14:paraId="6F0B525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基金管理人和基金托管人本着平等自愿、诚实信用、充分保护基金份额持有人合法权益的原则，经协商一致，签订本协议。</w:t>
      </w:r>
    </w:p>
    <w:p w14:paraId="20639F77" w14:textId="77777777" w:rsidR="00E61384" w:rsidRDefault="00E61384">
      <w:pPr>
        <w:pStyle w:val="20"/>
        <w:spacing w:before="0" w:after="0" w:line="360" w:lineRule="auto"/>
        <w:ind w:left="0" w:firstLineChars="200" w:firstLine="480"/>
        <w:rPr>
          <w:rFonts w:hAnsi="宋体"/>
          <w:szCs w:val="24"/>
        </w:rPr>
      </w:pPr>
    </w:p>
    <w:p w14:paraId="28E95E71" w14:textId="77777777" w:rsidR="00E61384" w:rsidRDefault="0093607B">
      <w:pPr>
        <w:pStyle w:val="1"/>
        <w:ind w:firstLineChars="200" w:firstLine="482"/>
        <w:rPr>
          <w:bCs/>
          <w:color w:val="auto"/>
          <w:szCs w:val="24"/>
        </w:rPr>
      </w:pPr>
      <w:bookmarkStart w:id="19" w:name="_Toc296551339"/>
      <w:bookmarkStart w:id="20" w:name="_Toc142055707"/>
      <w:bookmarkStart w:id="21" w:name="_Toc24629"/>
      <w:bookmarkStart w:id="22" w:name="_Toc4870326"/>
      <w:r>
        <w:rPr>
          <w:rFonts w:hint="eastAsia"/>
          <w:bCs/>
          <w:color w:val="auto"/>
          <w:szCs w:val="24"/>
        </w:rPr>
        <w:t>第三条 基金托管人对基金管理人的业务监督和核查</w:t>
      </w:r>
      <w:bookmarkEnd w:id="19"/>
      <w:bookmarkEnd w:id="20"/>
      <w:bookmarkEnd w:id="21"/>
      <w:bookmarkEnd w:id="22"/>
    </w:p>
    <w:p w14:paraId="1BD8D019"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3.1基金托管人对基金管理人的投资行为行使监督权</w:t>
      </w:r>
    </w:p>
    <w:p w14:paraId="67B407A7" w14:textId="77777777" w:rsidR="00872756" w:rsidRDefault="0093607B" w:rsidP="00872756">
      <w:pPr>
        <w:pStyle w:val="20"/>
        <w:spacing w:before="0" w:after="0" w:line="360" w:lineRule="auto"/>
        <w:ind w:left="0" w:firstLineChars="200" w:firstLine="480"/>
        <w:rPr>
          <w:rFonts w:hAnsi="宋体"/>
          <w:szCs w:val="24"/>
        </w:rPr>
      </w:pPr>
      <w:bookmarkStart w:id="23" w:name="_Hlk204885480"/>
      <w:r>
        <w:rPr>
          <w:rFonts w:hAnsi="宋体" w:hint="eastAsia"/>
          <w:szCs w:val="24"/>
        </w:rPr>
        <w:t>3.1.1基金托管人根据有关法律法规的规定和基金合同的约定，对下述基金投资范围、投资对象进行监督。本基金将投资于以下金融工具：</w:t>
      </w:r>
      <w:bookmarkStart w:id="24" w:name="_Hlk116913564"/>
      <w:bookmarkStart w:id="25" w:name="_Hlk116237109"/>
    </w:p>
    <w:p w14:paraId="009670D5" w14:textId="77777777" w:rsidR="009B1D0F" w:rsidRPr="009B1D0F" w:rsidRDefault="009B1D0F" w:rsidP="00872756">
      <w:pPr>
        <w:pStyle w:val="20"/>
        <w:spacing w:before="0" w:after="0" w:line="360" w:lineRule="auto"/>
        <w:ind w:left="0" w:firstLineChars="200" w:firstLine="480"/>
        <w:rPr>
          <w:rFonts w:hAnsi="宋体"/>
          <w:szCs w:val="24"/>
        </w:rPr>
      </w:pPr>
      <w:r w:rsidRPr="009B1D0F">
        <w:rPr>
          <w:rFonts w:hAnsi="宋体" w:hint="eastAsia"/>
          <w:szCs w:val="24"/>
        </w:rPr>
        <w:t>本基金主要投资于标的指数成份</w:t>
      </w:r>
      <w:proofErr w:type="gramStart"/>
      <w:r w:rsidRPr="009B1D0F">
        <w:rPr>
          <w:rFonts w:hAnsi="宋体" w:hint="eastAsia"/>
          <w:szCs w:val="24"/>
        </w:rPr>
        <w:t>券</w:t>
      </w:r>
      <w:proofErr w:type="gramEnd"/>
      <w:r w:rsidRPr="009B1D0F">
        <w:rPr>
          <w:rFonts w:hAnsi="宋体" w:hint="eastAsia"/>
          <w:szCs w:val="24"/>
        </w:rPr>
        <w:t>及备选成份</w:t>
      </w:r>
      <w:proofErr w:type="gramStart"/>
      <w:r w:rsidRPr="009B1D0F">
        <w:rPr>
          <w:rFonts w:hAnsi="宋体" w:hint="eastAsia"/>
          <w:szCs w:val="24"/>
        </w:rPr>
        <w:t>券</w:t>
      </w:r>
      <w:proofErr w:type="gramEnd"/>
      <w:r w:rsidRPr="009B1D0F">
        <w:rPr>
          <w:rFonts w:hAnsi="宋体" w:hint="eastAsia"/>
          <w:szCs w:val="24"/>
        </w:rPr>
        <w:t>。为了更好地实现投资目标，本基金还可以投资于具有良好流动性的金融工具，包括债券（含国债、金融债券、政策性金融债、企业债券、公司债券、央行票据、中期票据、分离交易的可转换公司债</w:t>
      </w:r>
      <w:proofErr w:type="gramStart"/>
      <w:r w:rsidRPr="009B1D0F">
        <w:rPr>
          <w:rFonts w:hAnsi="宋体" w:hint="eastAsia"/>
          <w:szCs w:val="24"/>
        </w:rPr>
        <w:t>券的纯债部分</w:t>
      </w:r>
      <w:proofErr w:type="gramEnd"/>
      <w:r w:rsidRPr="009B1D0F">
        <w:rPr>
          <w:rFonts w:hAnsi="宋体" w:hint="eastAsia"/>
          <w:szCs w:val="24"/>
        </w:rPr>
        <w:t>、短期融资</w:t>
      </w:r>
      <w:proofErr w:type="gramStart"/>
      <w:r w:rsidRPr="009B1D0F">
        <w:rPr>
          <w:rFonts w:hAnsi="宋体" w:hint="eastAsia"/>
          <w:szCs w:val="24"/>
        </w:rPr>
        <w:t>券</w:t>
      </w:r>
      <w:proofErr w:type="gramEnd"/>
      <w:r w:rsidRPr="009B1D0F">
        <w:rPr>
          <w:rFonts w:hAnsi="宋体" w:hint="eastAsia"/>
          <w:szCs w:val="24"/>
        </w:rPr>
        <w:t>、超短期融资</w:t>
      </w:r>
      <w:proofErr w:type="gramStart"/>
      <w:r w:rsidRPr="009B1D0F">
        <w:rPr>
          <w:rFonts w:hAnsi="宋体" w:hint="eastAsia"/>
          <w:szCs w:val="24"/>
        </w:rPr>
        <w:t>券</w:t>
      </w:r>
      <w:proofErr w:type="gramEnd"/>
      <w:r w:rsidRPr="009B1D0F">
        <w:rPr>
          <w:rFonts w:hAnsi="宋体" w:hint="eastAsia"/>
          <w:szCs w:val="24"/>
        </w:rPr>
        <w:t>、次级债券、地方政府债券、政府支持机构债）、资产支持证券、债券回购、同业存单、银行存款（包括协议存款、定期存款、活期存款及其他银行存款）、现金、国债期货、信用衍生品等，以及法律法规或中国证监会允许基金投资的其他金融工具（但须符合中国证监会相关规定）。</w:t>
      </w:r>
    </w:p>
    <w:p w14:paraId="267342B8" w14:textId="77777777" w:rsidR="009B1D0F" w:rsidRPr="009B1D0F" w:rsidRDefault="009B1D0F" w:rsidP="009B1D0F">
      <w:pPr>
        <w:pStyle w:val="14"/>
        <w:snapToGrid w:val="0"/>
        <w:spacing w:line="360" w:lineRule="auto"/>
        <w:ind w:firstLine="480"/>
        <w:rPr>
          <w:rFonts w:ascii="宋体" w:hAnsi="宋体"/>
          <w:kern w:val="2"/>
          <w:sz w:val="24"/>
          <w:szCs w:val="24"/>
        </w:rPr>
      </w:pPr>
      <w:r w:rsidRPr="009B1D0F">
        <w:rPr>
          <w:rFonts w:ascii="宋体" w:hAnsi="宋体" w:hint="eastAsia"/>
          <w:kern w:val="2"/>
          <w:sz w:val="24"/>
          <w:szCs w:val="24"/>
        </w:rPr>
        <w:t>本基金不参与股票等权益类资产的投资，也不投资于可转换债券（分离交易的可转换公司债</w:t>
      </w:r>
      <w:proofErr w:type="gramStart"/>
      <w:r w:rsidRPr="009B1D0F">
        <w:rPr>
          <w:rFonts w:ascii="宋体" w:hAnsi="宋体" w:hint="eastAsia"/>
          <w:kern w:val="2"/>
          <w:sz w:val="24"/>
          <w:szCs w:val="24"/>
        </w:rPr>
        <w:t>券</w:t>
      </w:r>
      <w:proofErr w:type="gramEnd"/>
      <w:r w:rsidRPr="009B1D0F">
        <w:rPr>
          <w:rFonts w:ascii="宋体" w:hAnsi="宋体" w:hint="eastAsia"/>
          <w:kern w:val="2"/>
          <w:sz w:val="24"/>
          <w:szCs w:val="24"/>
        </w:rPr>
        <w:t>的</w:t>
      </w:r>
      <w:proofErr w:type="gramStart"/>
      <w:r w:rsidRPr="009B1D0F">
        <w:rPr>
          <w:rFonts w:ascii="宋体" w:hAnsi="宋体" w:hint="eastAsia"/>
          <w:kern w:val="2"/>
          <w:sz w:val="24"/>
          <w:szCs w:val="24"/>
        </w:rPr>
        <w:t>纯债部分</w:t>
      </w:r>
      <w:proofErr w:type="gramEnd"/>
      <w:r w:rsidRPr="009B1D0F">
        <w:rPr>
          <w:rFonts w:ascii="宋体" w:hAnsi="宋体" w:hint="eastAsia"/>
          <w:kern w:val="2"/>
          <w:sz w:val="24"/>
          <w:szCs w:val="24"/>
        </w:rPr>
        <w:t>除外）、可交换债券。</w:t>
      </w:r>
    </w:p>
    <w:p w14:paraId="2ED34E2F" w14:textId="77777777" w:rsidR="009B1D0F" w:rsidRPr="009B1D0F" w:rsidRDefault="009B1D0F" w:rsidP="009B1D0F">
      <w:pPr>
        <w:pStyle w:val="14"/>
        <w:snapToGrid w:val="0"/>
        <w:spacing w:line="360" w:lineRule="auto"/>
        <w:ind w:firstLine="480"/>
        <w:rPr>
          <w:rFonts w:ascii="宋体" w:hAnsi="宋体"/>
          <w:kern w:val="2"/>
          <w:sz w:val="24"/>
          <w:szCs w:val="24"/>
        </w:rPr>
      </w:pPr>
      <w:r w:rsidRPr="009B1D0F">
        <w:rPr>
          <w:rFonts w:ascii="宋体" w:hAnsi="宋体" w:hint="eastAsia"/>
          <w:kern w:val="2"/>
          <w:sz w:val="24"/>
          <w:szCs w:val="24"/>
        </w:rPr>
        <w:t>如法律法规或监管机构以后允许基金投资其他品种，基金管理人在履行适当程序后，可以将其纳入本基金的投资范围，其投资比例遵循届时有效的法律法规和相关规定。</w:t>
      </w:r>
    </w:p>
    <w:p w14:paraId="7B6B2F09" w14:textId="77777777" w:rsidR="009B1D0F" w:rsidRPr="009B1D0F" w:rsidRDefault="009B1D0F" w:rsidP="009B1D0F">
      <w:pPr>
        <w:pStyle w:val="14"/>
        <w:snapToGrid w:val="0"/>
        <w:spacing w:line="360" w:lineRule="auto"/>
        <w:ind w:firstLine="480"/>
        <w:rPr>
          <w:rFonts w:ascii="宋体" w:hAnsi="宋体"/>
          <w:kern w:val="2"/>
          <w:sz w:val="24"/>
          <w:szCs w:val="24"/>
        </w:rPr>
      </w:pPr>
      <w:r w:rsidRPr="009B1D0F">
        <w:rPr>
          <w:rFonts w:ascii="宋体" w:hAnsi="宋体" w:hint="eastAsia"/>
          <w:kern w:val="2"/>
          <w:sz w:val="24"/>
          <w:szCs w:val="24"/>
        </w:rPr>
        <w:t>本基金的投资组合比例为：本基金投资于债券资产的比例不低于基金资产的80%；本基金投资于标的指数成份</w:t>
      </w:r>
      <w:proofErr w:type="gramStart"/>
      <w:r w:rsidRPr="009B1D0F">
        <w:rPr>
          <w:rFonts w:ascii="宋体" w:hAnsi="宋体" w:hint="eastAsia"/>
          <w:kern w:val="2"/>
          <w:sz w:val="24"/>
          <w:szCs w:val="24"/>
        </w:rPr>
        <w:t>券</w:t>
      </w:r>
      <w:proofErr w:type="gramEnd"/>
      <w:r w:rsidRPr="009B1D0F">
        <w:rPr>
          <w:rFonts w:ascii="宋体" w:hAnsi="宋体" w:hint="eastAsia"/>
          <w:kern w:val="2"/>
          <w:sz w:val="24"/>
          <w:szCs w:val="24"/>
        </w:rPr>
        <w:t>和备选成份</w:t>
      </w:r>
      <w:proofErr w:type="gramStart"/>
      <w:r w:rsidRPr="009B1D0F">
        <w:rPr>
          <w:rFonts w:ascii="宋体" w:hAnsi="宋体" w:hint="eastAsia"/>
          <w:kern w:val="2"/>
          <w:sz w:val="24"/>
          <w:szCs w:val="24"/>
        </w:rPr>
        <w:t>券</w:t>
      </w:r>
      <w:proofErr w:type="gramEnd"/>
      <w:r w:rsidRPr="009B1D0F">
        <w:rPr>
          <w:rFonts w:ascii="宋体" w:hAnsi="宋体" w:hint="eastAsia"/>
          <w:kern w:val="2"/>
          <w:sz w:val="24"/>
          <w:szCs w:val="24"/>
        </w:rPr>
        <w:t>的比例不低于基金资产净值的90%，且不低于非现金基金资产的 80%；每个交易日日终在扣除国债期货合约需缴纳的交易保证金后，应当保持不低于交易保证金一倍的现金，其中，现金不包括结算备付金、存出保证金和应收申购款等，因法律法规的规定而受限制的情形除外。</w:t>
      </w:r>
    </w:p>
    <w:p w14:paraId="59F8592D" w14:textId="77777777" w:rsidR="00E61384" w:rsidRDefault="009B1D0F" w:rsidP="009B1D0F">
      <w:pPr>
        <w:pStyle w:val="14"/>
        <w:snapToGrid w:val="0"/>
        <w:spacing w:line="360" w:lineRule="auto"/>
        <w:ind w:firstLine="480"/>
        <w:rPr>
          <w:rFonts w:ascii="Arial" w:hAnsi="Arial"/>
          <w:sz w:val="24"/>
          <w:szCs w:val="24"/>
        </w:rPr>
      </w:pPr>
      <w:r w:rsidRPr="009B1D0F">
        <w:rPr>
          <w:rFonts w:ascii="宋体" w:hAnsi="宋体" w:hint="eastAsia"/>
          <w:kern w:val="2"/>
          <w:sz w:val="24"/>
          <w:szCs w:val="24"/>
        </w:rPr>
        <w:t>如果法律法规或中国证监会变更投资品种的投资比例限制，基金管理人在履</w:t>
      </w:r>
      <w:r w:rsidRPr="009B1D0F">
        <w:rPr>
          <w:rFonts w:ascii="宋体" w:hAnsi="宋体" w:hint="eastAsia"/>
          <w:kern w:val="2"/>
          <w:sz w:val="24"/>
          <w:szCs w:val="24"/>
        </w:rPr>
        <w:lastRenderedPageBreak/>
        <w:t>行适当程序后，可以调整上述投资品种的投资比例或以变更后的规定为准。</w:t>
      </w:r>
    </w:p>
    <w:bookmarkEnd w:id="24"/>
    <w:p w14:paraId="278200F8" w14:textId="77777777" w:rsidR="00E61384" w:rsidRDefault="0093607B">
      <w:pPr>
        <w:spacing w:line="360" w:lineRule="auto"/>
        <w:ind w:firstLineChars="300" w:firstLine="720"/>
        <w:jc w:val="left"/>
        <w:rPr>
          <w:rFonts w:ascii="宋体" w:hAnsi="宋体"/>
          <w:sz w:val="24"/>
        </w:rPr>
      </w:pPr>
      <w:r>
        <w:rPr>
          <w:rFonts w:ascii="宋体" w:hAnsi="宋体" w:hint="eastAsia"/>
          <w:sz w:val="24"/>
        </w:rPr>
        <w:t>3.1.2基金托管人根据有关法律法规的规定及基金合同的约定对下述基金投融资比例进行监督：</w:t>
      </w:r>
    </w:p>
    <w:p w14:paraId="416BF9F8"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（1）本基金投资于债券资产的比例不低于基金资产的80%；本基金投资于标的指数成份</w:t>
      </w:r>
      <w:proofErr w:type="gramStart"/>
      <w:r w:rsidRPr="009B1D0F">
        <w:rPr>
          <w:rFonts w:hAnsi="宋体" w:hint="eastAsia"/>
          <w:szCs w:val="24"/>
        </w:rPr>
        <w:t>券</w:t>
      </w:r>
      <w:proofErr w:type="gramEnd"/>
      <w:r w:rsidRPr="009B1D0F">
        <w:rPr>
          <w:rFonts w:hAnsi="宋体" w:hint="eastAsia"/>
          <w:szCs w:val="24"/>
        </w:rPr>
        <w:t>和备选成份</w:t>
      </w:r>
      <w:proofErr w:type="gramStart"/>
      <w:r w:rsidRPr="009B1D0F">
        <w:rPr>
          <w:rFonts w:hAnsi="宋体" w:hint="eastAsia"/>
          <w:szCs w:val="24"/>
        </w:rPr>
        <w:t>券</w:t>
      </w:r>
      <w:proofErr w:type="gramEnd"/>
      <w:r w:rsidRPr="009B1D0F">
        <w:rPr>
          <w:rFonts w:hAnsi="宋体" w:hint="eastAsia"/>
          <w:szCs w:val="24"/>
        </w:rPr>
        <w:t xml:space="preserve">的比例不低于基金资产净值的90%，且不低于非现金基金资产的 80%； </w:t>
      </w:r>
    </w:p>
    <w:p w14:paraId="66616AB2"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（2）每个交易日日终在扣除国债期货合约需缴纳的交易保证金后，应当保持不低于交易保证金一倍的现金，其中，现金不包括结算备付金、存出保证金和应收申购款等；</w:t>
      </w:r>
    </w:p>
    <w:p w14:paraId="42471311"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（3）本基金持有一家公司发行的证券，其市值不超过基金资产净值的10%，完全按照有关指数的构成比例进行证券投资的基金品种可以不受此条款规定的比例限制；</w:t>
      </w:r>
    </w:p>
    <w:p w14:paraId="3BB35C4D"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（4）本基金管理人管理的全部基金持有一家公司发行的证券，不超过该证券的10%，完全按照有关指数的构成比例进行证券投资的基金品种可以不受此条款规定的比例限制；</w:t>
      </w:r>
    </w:p>
    <w:p w14:paraId="6AE8C9BD"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（5）本基金投资于同一原始权益人的各类资产支持证券的比例，不得超过基金资产净值的10%；</w:t>
      </w:r>
    </w:p>
    <w:p w14:paraId="7F905AB5"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（6）本基金持有的全部资产支持证券，其市值不得超过基金资产净值的20%；</w:t>
      </w:r>
    </w:p>
    <w:p w14:paraId="5FF4C61E"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（7）本基金持有的同一（指同一信用级别）资产支持证券的比例，不得超过该资产支持证券规模的10%；</w:t>
      </w:r>
    </w:p>
    <w:p w14:paraId="4C614A2F" w14:textId="77777777" w:rsidR="009B1D0F" w:rsidRDefault="009B1D0F" w:rsidP="009B1D0F">
      <w:pPr>
        <w:pStyle w:val="20"/>
        <w:spacing w:line="360" w:lineRule="auto"/>
        <w:ind w:firstLineChars="200" w:firstLine="480"/>
        <w:rPr>
          <w:rFonts w:hAnsi="宋体"/>
          <w:szCs w:val="24"/>
        </w:rPr>
      </w:pPr>
      <w:r w:rsidRPr="009B1D0F">
        <w:rPr>
          <w:rFonts w:hAnsi="宋体" w:hint="eastAsia"/>
          <w:szCs w:val="24"/>
        </w:rPr>
        <w:t>（8）本基金管理人管理的全部基金投资于同一原始权益人的各类资产支持证券，不得超过其各类资产支持证券合计规模的10%；</w:t>
      </w:r>
    </w:p>
    <w:p w14:paraId="4B67CC62" w14:textId="77777777" w:rsidR="00125096" w:rsidRPr="009B1D0F" w:rsidRDefault="00125096" w:rsidP="009B1D0F">
      <w:pPr>
        <w:pStyle w:val="20"/>
        <w:spacing w:line="360" w:lineRule="auto"/>
        <w:ind w:firstLineChars="200" w:firstLine="480"/>
        <w:rPr>
          <w:rFonts w:hAnsi="宋体"/>
          <w:szCs w:val="24"/>
        </w:rPr>
      </w:pPr>
      <w:r w:rsidRPr="00125096">
        <w:rPr>
          <w:rFonts w:hAnsi="宋体" w:hint="eastAsia"/>
          <w:szCs w:val="24"/>
        </w:rPr>
        <w:t>（9）本基金应投资于信用级别评级为BBB以上（含BBB）的资产支持证券。基金持有资产支持证券期间，如果其信用等级下降、不再符合投资标准，应在评级报告发布之日起3个月内予以全部卖出；</w:t>
      </w:r>
    </w:p>
    <w:p w14:paraId="6818A73D"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w:t>
      </w:r>
      <w:r w:rsidR="00125096">
        <w:rPr>
          <w:rFonts w:hAnsi="宋体"/>
          <w:szCs w:val="24"/>
        </w:rPr>
        <w:t>10</w:t>
      </w:r>
      <w:r w:rsidRPr="009B1D0F">
        <w:rPr>
          <w:rFonts w:hAnsi="宋体" w:hint="eastAsia"/>
          <w:szCs w:val="24"/>
        </w:rPr>
        <w:t>）本基金参与国债期货交易的，需遵守下列投资比例限制：</w:t>
      </w:r>
    </w:p>
    <w:p w14:paraId="14D4AE9F"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1）本基金在任何交易日日终，持有的买入国债期货合约价值，不得超过</w:t>
      </w:r>
      <w:r w:rsidRPr="009B1D0F">
        <w:rPr>
          <w:rFonts w:hAnsi="宋体" w:hint="eastAsia"/>
          <w:szCs w:val="24"/>
        </w:rPr>
        <w:lastRenderedPageBreak/>
        <w:t>基金资产净值的15%；</w:t>
      </w:r>
    </w:p>
    <w:p w14:paraId="3E3BCCF9"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2）本基金在任何交易日日终，持有的卖出国债期货合约价值不得超过基金持有的债券总市值的30%；</w:t>
      </w:r>
    </w:p>
    <w:p w14:paraId="173343AD"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3）本基金在任何交易日内交易（不包括平仓）的国债期货合约的成交金额不得超过上一交易日基金资产净值的30%；</w:t>
      </w:r>
    </w:p>
    <w:p w14:paraId="24B807CF"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4）本基金所持有的债券（不含到期日在一年以内的政府债券）市值和买入、卖出国债期货合约价值，合计（轧差计算）应当符合基金合同关于债券投资比例的有关约定；</w:t>
      </w:r>
    </w:p>
    <w:p w14:paraId="4310605F"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w:t>
      </w:r>
      <w:r w:rsidR="00125096" w:rsidRPr="009B1D0F">
        <w:rPr>
          <w:rFonts w:hAnsi="宋体" w:hint="eastAsia"/>
          <w:szCs w:val="24"/>
        </w:rPr>
        <w:t>1</w:t>
      </w:r>
      <w:r w:rsidR="00125096">
        <w:rPr>
          <w:rFonts w:hAnsi="宋体"/>
          <w:szCs w:val="24"/>
        </w:rPr>
        <w:t>1</w:t>
      </w:r>
      <w:r w:rsidRPr="009B1D0F">
        <w:rPr>
          <w:rFonts w:hAnsi="宋体" w:hint="eastAsia"/>
          <w:szCs w:val="24"/>
        </w:rPr>
        <w:t>）本基金不得持有信用保护卖方属性的信用衍生品，不得持有合约类信用衍生品；本基金持有的信用衍生品的名义本金不得超过本基金对应受保护债券面值的100%；本基金投资于同一信用保护卖方的各类信用衍生品的名义本金合计不得超过基金资产净值的10%；</w:t>
      </w:r>
    </w:p>
    <w:p w14:paraId="664E03FC"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因证券、期货市场波动、证券发行人合并、基金规模变动等基金管理人之外的因素致使基金不符合前款所规定比例限制的，基金管理人应在3个月之内进行调整；</w:t>
      </w:r>
    </w:p>
    <w:p w14:paraId="59FBD4D4"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w:t>
      </w:r>
      <w:r w:rsidR="00125096" w:rsidRPr="009B1D0F">
        <w:rPr>
          <w:rFonts w:hAnsi="宋体" w:hint="eastAsia"/>
          <w:szCs w:val="24"/>
        </w:rPr>
        <w:t>1</w:t>
      </w:r>
      <w:r w:rsidR="00125096">
        <w:rPr>
          <w:rFonts w:hAnsi="宋体"/>
          <w:szCs w:val="24"/>
        </w:rPr>
        <w:t>2</w:t>
      </w:r>
      <w:r w:rsidRPr="009B1D0F">
        <w:rPr>
          <w:rFonts w:hAnsi="宋体" w:hint="eastAsia"/>
          <w:szCs w:val="24"/>
        </w:rPr>
        <w:t>）本基金的基金资产总值不得超过基金资产净值的140%；</w:t>
      </w:r>
    </w:p>
    <w:p w14:paraId="2D20B3A4"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w:t>
      </w:r>
      <w:r w:rsidR="00125096" w:rsidRPr="009B1D0F">
        <w:rPr>
          <w:rFonts w:hAnsi="宋体" w:hint="eastAsia"/>
          <w:szCs w:val="24"/>
        </w:rPr>
        <w:t>1</w:t>
      </w:r>
      <w:r w:rsidR="00125096">
        <w:rPr>
          <w:rFonts w:hAnsi="宋体"/>
          <w:szCs w:val="24"/>
        </w:rPr>
        <w:t>3</w:t>
      </w:r>
      <w:r w:rsidRPr="009B1D0F">
        <w:rPr>
          <w:rFonts w:hAnsi="宋体" w:hint="eastAsia"/>
          <w:szCs w:val="24"/>
        </w:rPr>
        <w:t>）本基金主动投资于流动性受限资产的市值合计，不得超过基金资产净值的15%；因证券市场波动、基金规模变动等基金管理人之外的因素致使基金不符合该比例限制的，基金管理人不得主动新增流动性受限资产的投资；</w:t>
      </w:r>
    </w:p>
    <w:p w14:paraId="5A986043"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w:t>
      </w:r>
      <w:r w:rsidR="00125096" w:rsidRPr="009B1D0F">
        <w:rPr>
          <w:rFonts w:hAnsi="宋体" w:hint="eastAsia"/>
          <w:szCs w:val="24"/>
        </w:rPr>
        <w:t>1</w:t>
      </w:r>
      <w:r w:rsidR="00125096">
        <w:rPr>
          <w:rFonts w:hAnsi="宋体"/>
          <w:szCs w:val="24"/>
        </w:rPr>
        <w:t>4</w:t>
      </w:r>
      <w:r w:rsidRPr="009B1D0F">
        <w:rPr>
          <w:rFonts w:hAnsi="宋体" w:hint="eastAsia"/>
          <w:szCs w:val="24"/>
        </w:rPr>
        <w:t>）本基金与私募类</w:t>
      </w:r>
      <w:proofErr w:type="gramStart"/>
      <w:r w:rsidRPr="009B1D0F">
        <w:rPr>
          <w:rFonts w:hAnsi="宋体" w:hint="eastAsia"/>
          <w:szCs w:val="24"/>
        </w:rPr>
        <w:t>证券资管产品</w:t>
      </w:r>
      <w:proofErr w:type="gramEnd"/>
      <w:r w:rsidRPr="009B1D0F">
        <w:rPr>
          <w:rFonts w:hAnsi="宋体" w:hint="eastAsia"/>
          <w:szCs w:val="24"/>
        </w:rPr>
        <w:t>及中国证监会认定的其他主体为交易对手开展逆回购交易的，可接受质押品的资质要求应当与基金合同约定的投资范围保持一致；</w:t>
      </w:r>
    </w:p>
    <w:p w14:paraId="22B1C155"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w:t>
      </w:r>
      <w:r w:rsidR="00125096" w:rsidRPr="009B1D0F">
        <w:rPr>
          <w:rFonts w:hAnsi="宋体" w:hint="eastAsia"/>
          <w:szCs w:val="24"/>
        </w:rPr>
        <w:t>1</w:t>
      </w:r>
      <w:r w:rsidR="00125096">
        <w:rPr>
          <w:rFonts w:hAnsi="宋体"/>
          <w:szCs w:val="24"/>
        </w:rPr>
        <w:t>5</w:t>
      </w:r>
      <w:r w:rsidRPr="009B1D0F">
        <w:rPr>
          <w:rFonts w:hAnsi="宋体" w:hint="eastAsia"/>
          <w:szCs w:val="24"/>
        </w:rPr>
        <w:t>）法律法规及中国证监会规定的和《基金合同》约定的其他投资限制。</w:t>
      </w:r>
    </w:p>
    <w:p w14:paraId="1852AF4D"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t>除上述（2）、（</w:t>
      </w:r>
      <w:r w:rsidR="00125096">
        <w:rPr>
          <w:rFonts w:hAnsi="宋体"/>
          <w:szCs w:val="24"/>
        </w:rPr>
        <w:t>9</w:t>
      </w:r>
      <w:r w:rsidRPr="009B1D0F">
        <w:rPr>
          <w:rFonts w:hAnsi="宋体" w:hint="eastAsia"/>
          <w:szCs w:val="24"/>
        </w:rPr>
        <w:t>）、（</w:t>
      </w:r>
      <w:r w:rsidR="00125096">
        <w:rPr>
          <w:rFonts w:hAnsi="宋体"/>
          <w:szCs w:val="24"/>
        </w:rPr>
        <w:t>11</w:t>
      </w:r>
      <w:r w:rsidRPr="009B1D0F">
        <w:rPr>
          <w:rFonts w:hAnsi="宋体" w:hint="eastAsia"/>
          <w:szCs w:val="24"/>
        </w:rPr>
        <w:t>）、（13）</w:t>
      </w:r>
      <w:r w:rsidR="00125096">
        <w:rPr>
          <w:rFonts w:hAnsi="宋体" w:hint="eastAsia"/>
          <w:szCs w:val="24"/>
        </w:rPr>
        <w:t>、（1</w:t>
      </w:r>
      <w:r w:rsidR="00125096">
        <w:rPr>
          <w:rFonts w:hAnsi="宋体"/>
          <w:szCs w:val="24"/>
        </w:rPr>
        <w:t>4</w:t>
      </w:r>
      <w:r w:rsidR="00125096">
        <w:rPr>
          <w:rFonts w:hAnsi="宋体" w:hint="eastAsia"/>
          <w:szCs w:val="24"/>
        </w:rPr>
        <w:t>）</w:t>
      </w:r>
      <w:r w:rsidRPr="009B1D0F">
        <w:rPr>
          <w:rFonts w:hAnsi="宋体" w:hint="eastAsia"/>
          <w:szCs w:val="24"/>
        </w:rPr>
        <w:t>项情形之外，因证券市场波动、证券发行人合并、基金规模变动、标的指数成份</w:t>
      </w:r>
      <w:proofErr w:type="gramStart"/>
      <w:r w:rsidRPr="009B1D0F">
        <w:rPr>
          <w:rFonts w:hAnsi="宋体" w:hint="eastAsia"/>
          <w:szCs w:val="24"/>
        </w:rPr>
        <w:t>券</w:t>
      </w:r>
      <w:proofErr w:type="gramEnd"/>
      <w:r w:rsidRPr="009B1D0F">
        <w:rPr>
          <w:rFonts w:hAnsi="宋体" w:hint="eastAsia"/>
          <w:szCs w:val="24"/>
        </w:rPr>
        <w:t>调整或价格变化、标的指数成份</w:t>
      </w:r>
      <w:proofErr w:type="gramStart"/>
      <w:r w:rsidRPr="009B1D0F">
        <w:rPr>
          <w:rFonts w:hAnsi="宋体" w:hint="eastAsia"/>
          <w:szCs w:val="24"/>
        </w:rPr>
        <w:t>券</w:t>
      </w:r>
      <w:proofErr w:type="gramEnd"/>
      <w:r w:rsidRPr="009B1D0F">
        <w:rPr>
          <w:rFonts w:hAnsi="宋体" w:hint="eastAsia"/>
          <w:szCs w:val="24"/>
        </w:rPr>
        <w:t>流动性限制等基金管理人之外的因素致使基金投资比例不符合上述规定投资比例的，基金管理人应当在10个交易日内进行调整，但中国证监会规定的特殊情形除外。法律法规另有规定的，从其规定。</w:t>
      </w:r>
    </w:p>
    <w:p w14:paraId="371BD326" w14:textId="77777777" w:rsidR="009B1D0F" w:rsidRPr="009B1D0F" w:rsidRDefault="009B1D0F" w:rsidP="009B1D0F">
      <w:pPr>
        <w:pStyle w:val="20"/>
        <w:spacing w:line="360" w:lineRule="auto"/>
        <w:ind w:firstLineChars="200" w:firstLine="480"/>
        <w:rPr>
          <w:rFonts w:hAnsi="宋体"/>
          <w:szCs w:val="24"/>
        </w:rPr>
      </w:pPr>
      <w:r w:rsidRPr="009B1D0F">
        <w:rPr>
          <w:rFonts w:hAnsi="宋体" w:hint="eastAsia"/>
          <w:szCs w:val="24"/>
        </w:rPr>
        <w:lastRenderedPageBreak/>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18018CB" w14:textId="77777777" w:rsidR="00E61384" w:rsidRDefault="009B1D0F" w:rsidP="009B1D0F">
      <w:pPr>
        <w:pStyle w:val="20"/>
        <w:spacing w:before="0" w:after="0" w:line="360" w:lineRule="auto"/>
        <w:ind w:left="0" w:firstLineChars="200" w:firstLine="480"/>
        <w:rPr>
          <w:rFonts w:hAnsi="宋体"/>
          <w:szCs w:val="24"/>
        </w:rPr>
      </w:pPr>
      <w:r w:rsidRPr="009B1D0F">
        <w:rPr>
          <w:rFonts w:hAnsi="宋体" w:hint="eastAsia"/>
          <w:szCs w:val="24"/>
        </w:rPr>
        <w:t>如果法律法规对上述投资组合比例限制进行变更的，基金管理人在履行适当程序后，可相应调整投资比例限制规定或以变更后的规则为准，不需经基金份额持有人大会审议。法律法规或监管部门取消上述限制，如适用于本基金，基金管理人在履行适当程序后，则本基金投资不再受相关限制。</w:t>
      </w:r>
    </w:p>
    <w:p w14:paraId="6A44023A"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3.1.3基金托管人根据有关法律法规的规定及基金合同的约定对下述基金投资禁止行为进行监督：</w:t>
      </w:r>
    </w:p>
    <w:p w14:paraId="4E166D25" w14:textId="77777777" w:rsidR="00E61384" w:rsidRDefault="0093607B">
      <w:pPr>
        <w:spacing w:line="360" w:lineRule="auto"/>
        <w:ind w:firstLineChars="200" w:firstLine="480"/>
        <w:rPr>
          <w:bCs/>
          <w:sz w:val="24"/>
        </w:rPr>
      </w:pPr>
      <w:bookmarkStart w:id="26" w:name="_Hlk116236801"/>
      <w:r>
        <w:rPr>
          <w:bCs/>
          <w:sz w:val="24"/>
        </w:rPr>
        <w:t>为维护基金份额持有人的合法权益，基金财产不得用于下列投资或者活动：</w:t>
      </w:r>
    </w:p>
    <w:p w14:paraId="4D660ADE" w14:textId="77777777" w:rsidR="00E61384" w:rsidRDefault="0093607B">
      <w:pPr>
        <w:spacing w:line="360" w:lineRule="auto"/>
        <w:ind w:firstLineChars="200" w:firstLine="480"/>
        <w:rPr>
          <w:bCs/>
          <w:sz w:val="24"/>
        </w:rPr>
      </w:pPr>
      <w:bookmarkStart w:id="27" w:name="_Hlk36118847"/>
      <w:r>
        <w:rPr>
          <w:rFonts w:hint="eastAsia"/>
          <w:bCs/>
          <w:sz w:val="24"/>
        </w:rPr>
        <w:t>（</w:t>
      </w:r>
      <w:r>
        <w:rPr>
          <w:rFonts w:hint="eastAsia"/>
          <w:bCs/>
          <w:sz w:val="24"/>
        </w:rPr>
        <w:t>1</w:t>
      </w:r>
      <w:r>
        <w:rPr>
          <w:rFonts w:hint="eastAsia"/>
          <w:bCs/>
          <w:sz w:val="24"/>
        </w:rPr>
        <w:t>）承销证券；</w:t>
      </w:r>
    </w:p>
    <w:p w14:paraId="5EBBCC1A" w14:textId="77777777" w:rsidR="00E61384" w:rsidRDefault="0093607B">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6591D909" w14:textId="77777777" w:rsidR="00E61384" w:rsidRDefault="0093607B">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27401513" w14:textId="77777777" w:rsidR="00E61384" w:rsidRDefault="0093607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60753578" w14:textId="77777777" w:rsidR="00E61384" w:rsidRDefault="0093607B">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）向其基金管理人、基金托管人出资；</w:t>
      </w:r>
    </w:p>
    <w:p w14:paraId="0B9125F2" w14:textId="77777777" w:rsidR="00E61384" w:rsidRDefault="0093607B">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A697739" w14:textId="77777777" w:rsidR="00E61384" w:rsidRDefault="0093607B">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bookmarkEnd w:id="25"/>
    <w:bookmarkEnd w:id="26"/>
    <w:bookmarkEnd w:id="27"/>
    <w:p w14:paraId="1B0FBC65"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5BB3DBE"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法律、行政法规或监管部门取消或变更上述限制，如适用于本基金，</w:t>
      </w:r>
      <w:proofErr w:type="gramStart"/>
      <w:r>
        <w:rPr>
          <w:rFonts w:hAnsi="宋体" w:hint="eastAsia"/>
          <w:szCs w:val="24"/>
        </w:rPr>
        <w:t>则基金</w:t>
      </w:r>
      <w:proofErr w:type="gramEnd"/>
      <w:r>
        <w:rPr>
          <w:rFonts w:hAnsi="宋体" w:hint="eastAsia"/>
          <w:szCs w:val="24"/>
        </w:rPr>
        <w:t>管理人在履行适当程序后本基金投资不再受相关限制或以变更后的规定为准。</w:t>
      </w:r>
    </w:p>
    <w:bookmarkEnd w:id="23"/>
    <w:p w14:paraId="3B3C6DB4"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3.1.4基金托管人依据有关法律法规的规定和基金合同的约定对于基金关联投资限制进行监督：</w:t>
      </w:r>
    </w:p>
    <w:p w14:paraId="18495767" w14:textId="5B3BFEE7" w:rsidR="00E61384" w:rsidRDefault="00A61376">
      <w:pPr>
        <w:pStyle w:val="20"/>
        <w:spacing w:before="0" w:after="0" w:line="360" w:lineRule="auto"/>
        <w:ind w:left="0" w:firstLineChars="200" w:firstLine="480"/>
        <w:rPr>
          <w:rFonts w:hAnsi="宋体"/>
          <w:szCs w:val="24"/>
        </w:rPr>
      </w:pPr>
      <w:r w:rsidRPr="00A61376">
        <w:rPr>
          <w:rFonts w:hAnsi="宋体" w:hint="eastAsia"/>
          <w:szCs w:val="24"/>
        </w:rPr>
        <w:lastRenderedPageBreak/>
        <w:t>根据法律法规有关基金从事的关联交易的规定，基金管理人和基金托管人应事先相互提供与本机构有控股关系的股东或与本机构有其他重大利害关系的公司名单及其更新，并以双方约定的方式提交，确保所提供的关联交易名单的真实性、完整性、全面性，并负责及时将更新后的名单发送给对方。</w:t>
      </w:r>
      <w:r w:rsidR="0093607B">
        <w:rPr>
          <w:rFonts w:hAnsi="宋体" w:hint="eastAsia"/>
          <w:szCs w:val="24"/>
        </w:rPr>
        <w:t>如果基金托管人在运作中严格遵循了监督流程，基金管理人仍违规进行交易，并造成基金资产损失的，由基金管理人承担责任，基金托管人不承担相应损失和责任。</w:t>
      </w:r>
    </w:p>
    <w:p w14:paraId="50AAC90F" w14:textId="77777777" w:rsidR="00E61384" w:rsidRDefault="0093607B">
      <w:pPr>
        <w:pStyle w:val="20"/>
        <w:spacing w:before="0" w:after="0" w:line="360" w:lineRule="auto"/>
        <w:ind w:left="0" w:firstLineChars="200" w:firstLine="480"/>
        <w:rPr>
          <w:rFonts w:hAnsi="宋体"/>
          <w:szCs w:val="24"/>
        </w:rPr>
      </w:pPr>
      <w:proofErr w:type="gramStart"/>
      <w:r>
        <w:rPr>
          <w:rFonts w:hAnsi="宋体" w:hint="eastAsia"/>
          <w:szCs w:val="24"/>
        </w:rPr>
        <w:t>若基金</w:t>
      </w:r>
      <w:proofErr w:type="gramEnd"/>
      <w:r>
        <w:rPr>
          <w:rFonts w:hAnsi="宋体" w:hint="eastAsia"/>
          <w:szCs w:val="24"/>
        </w:rPr>
        <w:t>托管人发现基金管理人与关联方进行法律法规禁止基金从事的交易时，基金托管人应及时提醒并协助基金管理人采取必要措施阻止该交易的发生，</w:t>
      </w:r>
      <w:proofErr w:type="gramStart"/>
      <w:r>
        <w:rPr>
          <w:rFonts w:hAnsi="宋体" w:hint="eastAsia"/>
          <w:szCs w:val="24"/>
        </w:rPr>
        <w:t>若基金</w:t>
      </w:r>
      <w:proofErr w:type="gramEnd"/>
      <w:r>
        <w:rPr>
          <w:rFonts w:hAnsi="宋体" w:hint="eastAsia"/>
          <w:szCs w:val="24"/>
        </w:rPr>
        <w:t>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42F01898" w14:textId="77777777" w:rsidR="00E61384" w:rsidRDefault="0093607B">
      <w:pPr>
        <w:pStyle w:val="20"/>
        <w:spacing w:before="0" w:after="0" w:line="360" w:lineRule="auto"/>
        <w:ind w:left="0" w:firstLineChars="200" w:firstLine="480"/>
        <w:rPr>
          <w:rFonts w:hAnsi="宋体"/>
          <w:szCs w:val="24"/>
        </w:rPr>
      </w:pPr>
      <w:r>
        <w:rPr>
          <w:rFonts w:hAnsi="宋体"/>
          <w:szCs w:val="24"/>
        </w:rPr>
        <w:t>3.1.5基金托管人依据有关法律法规的规定和基金合同的约定对基金管理人参与银行间债券市场进行监督：</w:t>
      </w:r>
    </w:p>
    <w:p w14:paraId="0FEC5863"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（1）基金托管人依据有关法律法规的规定和基金合同的约定对于基金管理人参与银行间债券市场交易时面临的交易对手资信风险进行监督。</w:t>
      </w:r>
    </w:p>
    <w:p w14:paraId="79078748" w14:textId="77777777" w:rsidR="00E61384" w:rsidRDefault="0093607B">
      <w:pPr>
        <w:pStyle w:val="20"/>
        <w:spacing w:before="0" w:after="0" w:line="360" w:lineRule="auto"/>
        <w:ind w:left="0" w:firstLineChars="200" w:firstLine="480"/>
        <w:rPr>
          <w:rFonts w:hAnsi="宋体"/>
          <w:szCs w:val="24"/>
        </w:rPr>
      </w:pPr>
      <w:r>
        <w:rPr>
          <w:rFonts w:hAnsi="宋体" w:hint="eastAsia"/>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30DDD3A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490CDF1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（2）基金托管人对于基金管理人参与银行间债券市场交易的交易方式的控制</w:t>
      </w:r>
    </w:p>
    <w:p w14:paraId="0DD67AA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7C9188B8" w14:textId="7ECC9434" w:rsidR="00E61384" w:rsidRDefault="0093607B" w:rsidP="00A61376">
      <w:pPr>
        <w:pStyle w:val="20"/>
        <w:spacing w:before="0" w:after="0" w:line="520" w:lineRule="exact"/>
        <w:ind w:left="0" w:firstLineChars="200" w:firstLine="480"/>
        <w:rPr>
          <w:rFonts w:hAnsi="宋体"/>
          <w:szCs w:val="24"/>
        </w:rPr>
      </w:pPr>
      <w:r>
        <w:rPr>
          <w:rFonts w:hAnsi="宋体" w:hint="eastAsia"/>
          <w:szCs w:val="24"/>
        </w:rPr>
        <w:t>（3）基金管理人有责任控制交易对手的资信风险，按银行间债券市场的交易规则进行交易，并负责解决因交易对手不履行合同而造成的纠纷。若未履约的交易对手在基金管理人确定的时间内仍未承担违约责任及其他相关法律责任的，基金管理人负责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相应损失和责任。</w:t>
      </w:r>
    </w:p>
    <w:p w14:paraId="7636EDEE" w14:textId="6C360FB9" w:rsidR="00E61384" w:rsidRDefault="0093607B">
      <w:pPr>
        <w:pStyle w:val="20"/>
        <w:spacing w:before="0" w:after="0" w:line="520" w:lineRule="exact"/>
        <w:ind w:left="0" w:firstLineChars="200" w:firstLine="480"/>
        <w:rPr>
          <w:rFonts w:hAnsi="宋体"/>
          <w:szCs w:val="24"/>
        </w:rPr>
      </w:pPr>
      <w:r>
        <w:rPr>
          <w:rFonts w:hAnsi="宋体" w:hint="eastAsia"/>
          <w:szCs w:val="24"/>
        </w:rPr>
        <w:t>3.1.</w:t>
      </w:r>
      <w:r w:rsidR="00A61376">
        <w:rPr>
          <w:rFonts w:hAnsi="宋体"/>
          <w:szCs w:val="24"/>
        </w:rPr>
        <w:t>6</w:t>
      </w:r>
      <w:r>
        <w:rPr>
          <w:rFonts w:hAnsi="宋体" w:hint="eastAsia"/>
          <w:szCs w:val="24"/>
        </w:rPr>
        <w:t>基金托管人根据有关法律法规的规定及基金合同的约定，对基金管理人选择存款银行进行监督：</w:t>
      </w:r>
    </w:p>
    <w:p w14:paraId="3452C3A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6629228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本基金投资银行存款应符合如下规定：</w:t>
      </w:r>
    </w:p>
    <w:p w14:paraId="531D8F3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（1）基金管理人、基金托管人应当与存款银行建立定期对账机制，确保基金银行存款业务账目及核算的真实、准确。</w:t>
      </w:r>
    </w:p>
    <w:p w14:paraId="300C47D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622BC2B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（3）基金托管人应加强对基金银行存款业务的监督与核查，严格审查、复核</w:t>
      </w:r>
      <w:r>
        <w:rPr>
          <w:rFonts w:hAnsi="宋体" w:hint="eastAsia"/>
          <w:szCs w:val="24"/>
        </w:rPr>
        <w:lastRenderedPageBreak/>
        <w:t>相关协议、账户资料、投资指令、存款证实书等有关文件，切实履行托管职责。</w:t>
      </w:r>
    </w:p>
    <w:p w14:paraId="43D8C8C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（4）基金管理人与基金托管人在开展基金存款业务时，应严格遵守《基金法》、《运作办法》等有关法律法规，以及国家有关账户管理、利率管理、支付结算等的各项规定。</w:t>
      </w:r>
    </w:p>
    <w:p w14:paraId="6E9A86C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3.2基金托管人对基金管理人业务进行监督和核查的有关措施：</w:t>
      </w:r>
    </w:p>
    <w:p w14:paraId="3930708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3.2.1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1258EF57" w14:textId="7ECDD685" w:rsidR="00E61384" w:rsidRDefault="0093607B">
      <w:pPr>
        <w:pStyle w:val="20"/>
        <w:spacing w:before="0" w:after="0" w:line="520" w:lineRule="exact"/>
        <w:ind w:left="0" w:firstLineChars="200" w:firstLine="480"/>
        <w:rPr>
          <w:rFonts w:hAnsi="宋体"/>
          <w:szCs w:val="24"/>
        </w:rPr>
      </w:pPr>
      <w:r>
        <w:rPr>
          <w:rFonts w:hAnsi="宋体" w:hint="eastAsia"/>
          <w:szCs w:val="24"/>
        </w:rPr>
        <w:t>3.2.2基金托管人发现基金管理人的投资运作及其他运作违反《基金法》、基金合同、本托管协议及其他有关规定时，应及时以书面形式通知基金管理人限期纠正，</w:t>
      </w:r>
      <w:r w:rsidR="00A61376" w:rsidRPr="00A61376">
        <w:rPr>
          <w:rFonts w:hAnsi="宋体" w:hint="eastAsia"/>
          <w:szCs w:val="24"/>
        </w:rPr>
        <w:t>基金管理人收到书面通知后应及时核对</w:t>
      </w:r>
      <w:r>
        <w:rPr>
          <w:rFonts w:hAnsi="宋体" w:hint="eastAsia"/>
          <w:szCs w:val="24"/>
        </w:rPr>
        <w:t>，并以书面形式向基金托管人发出回函，进行解释或举证。</w:t>
      </w:r>
    </w:p>
    <w:p w14:paraId="78E2945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3.2.3在限期内，基金托管人有权随时对通知事项进行复查，督促基金管理人改正。基金管理人对基金托管人通知的违规事项未能在限期内纠正的，基金托管人应报告中国证监会。</w:t>
      </w:r>
    </w:p>
    <w:p w14:paraId="27621FE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3.2.4基金托管人发现基金管理人的投资指令违反法律法规规定或者违反基金合同约定的，应当拒绝执行，立即通知基金管理人。</w:t>
      </w:r>
    </w:p>
    <w:p w14:paraId="7A6FC23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3.2.5基金托管人发现基金管理人依据交易程序已经生效的投资指令违反法律、行政法规和其他有关规定，或者违反基金合同约定的，应当立即通知基金管理人，并及时向中国证监会报告，基金管理人应依法承担相应责任。若给基金托管人造成损失，基金托管人有权向基金管理人追偿由此造成的全部损失。</w:t>
      </w:r>
    </w:p>
    <w:p w14:paraId="2C7A2F7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3.2.6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667AC0E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3.2.7基金托管人发现基金管理人有重大违规行为，应立即报告中国证监会，同时通知基金管理人限期纠正。</w:t>
      </w:r>
    </w:p>
    <w:p w14:paraId="0E47BA1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3.2.8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70B99E40" w14:textId="77777777" w:rsidR="00E61384" w:rsidRDefault="0093607B">
      <w:pPr>
        <w:pStyle w:val="20"/>
        <w:spacing w:before="0" w:after="0" w:line="520" w:lineRule="exact"/>
        <w:ind w:left="0" w:firstLineChars="200" w:firstLine="480"/>
        <w:rPr>
          <w:rFonts w:hAnsi="宋体"/>
          <w:szCs w:val="24"/>
        </w:rPr>
      </w:pPr>
      <w:r>
        <w:rPr>
          <w:rFonts w:hAnsi="宋体"/>
          <w:szCs w:val="24"/>
        </w:rPr>
        <w:t>3.2.9</w:t>
      </w:r>
      <w:r>
        <w:rPr>
          <w:rFonts w:hAnsi="宋体" w:hint="eastAsia"/>
          <w:szCs w:val="24"/>
        </w:rPr>
        <w:t>基金托管人对资金来源、投资收益及投资安全不承担审核责任，特别是对于本基金所投标的</w:t>
      </w:r>
      <w:proofErr w:type="gramStart"/>
      <w:r>
        <w:rPr>
          <w:rFonts w:hAnsi="宋体" w:hint="eastAsia"/>
          <w:szCs w:val="24"/>
        </w:rPr>
        <w:t>的</w:t>
      </w:r>
      <w:proofErr w:type="gramEnd"/>
      <w:r>
        <w:rPr>
          <w:rFonts w:hAnsi="宋体" w:hint="eastAsia"/>
          <w:szCs w:val="24"/>
        </w:rPr>
        <w:t>后续资金使用情况无审核责任，不保证托管财产投资不受损失，不保证最低收益。</w:t>
      </w:r>
    </w:p>
    <w:p w14:paraId="1BF8DE0F" w14:textId="77777777" w:rsidR="00E61384" w:rsidRDefault="00E61384">
      <w:pPr>
        <w:pStyle w:val="20"/>
        <w:spacing w:before="0" w:after="0" w:line="520" w:lineRule="exact"/>
        <w:ind w:left="0" w:firstLineChars="200" w:firstLine="480"/>
        <w:rPr>
          <w:rFonts w:hAnsi="宋体"/>
          <w:szCs w:val="24"/>
        </w:rPr>
      </w:pPr>
    </w:p>
    <w:p w14:paraId="356BB300" w14:textId="77777777" w:rsidR="00E61384" w:rsidRDefault="0093607B">
      <w:pPr>
        <w:pStyle w:val="1"/>
        <w:spacing w:line="520" w:lineRule="exact"/>
        <w:ind w:firstLineChars="200" w:firstLine="482"/>
        <w:rPr>
          <w:bCs/>
          <w:color w:val="auto"/>
          <w:szCs w:val="24"/>
        </w:rPr>
      </w:pPr>
      <w:bookmarkStart w:id="28" w:name="_Toc4870327"/>
      <w:bookmarkStart w:id="29" w:name="_Toc296551340"/>
      <w:bookmarkStart w:id="30" w:name="_Toc142055708"/>
      <w:bookmarkStart w:id="31" w:name="_Toc9669"/>
      <w:r>
        <w:rPr>
          <w:rFonts w:hint="eastAsia"/>
          <w:bCs/>
          <w:color w:val="auto"/>
          <w:szCs w:val="24"/>
        </w:rPr>
        <w:t>第四条 基金管理人对基金托管人的业务核查</w:t>
      </w:r>
      <w:bookmarkEnd w:id="28"/>
      <w:bookmarkEnd w:id="29"/>
      <w:bookmarkEnd w:id="30"/>
      <w:bookmarkEnd w:id="31"/>
    </w:p>
    <w:p w14:paraId="7FBEE0C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4.1基金管理人对基金托管人履行托管职责情况进行核查，核查事项包括但不限于基金托管人安全保管基金财产、开设基金财产的资金账户和证券账户等投资所需的其他账户、复核基金管理人计算的基金资产净值和各类基金份额净值、根据基金管理人指令办理清算交收、相关信息披露和监督基金投资运作等行为。</w:t>
      </w:r>
    </w:p>
    <w:p w14:paraId="58C189E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4.2基金管理人发现基金托管人擅自挪用基金财产、未对基金财产实行分账管理、未执行或无故延迟执行基金管理人资金划拨指令、泄露基金投资信息等违反《基金法》、基金合同、本托管协议及其他有关规定时，基金管理人应及时以书面形式通知基金托管人限期纠正，基金托管人收到通知后应在下一个工作日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基金管理人有</w:t>
      </w:r>
      <w:r w:rsidR="006C434C">
        <w:rPr>
          <w:rFonts w:hAnsi="宋体" w:hint="eastAsia"/>
          <w:szCs w:val="24"/>
        </w:rPr>
        <w:t>权</w:t>
      </w:r>
      <w:r>
        <w:rPr>
          <w:rFonts w:hAnsi="宋体" w:hint="eastAsia"/>
          <w:szCs w:val="24"/>
        </w:rPr>
        <w:t>要求基金托管人赔偿基金因此所遭受的损失。</w:t>
      </w:r>
    </w:p>
    <w:p w14:paraId="13D466D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4.3基金管理人发现基金托管人有重大违规行为，应立即报告中国证监会和银行业监督管理机构，同时通知基金托管人限期纠正。</w:t>
      </w:r>
    </w:p>
    <w:p w14:paraId="567B277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4.4基金托管人应积极配合基金管理人的核查行为，包括但不限于：提交相关资料以</w:t>
      </w:r>
      <w:proofErr w:type="gramStart"/>
      <w:r>
        <w:rPr>
          <w:rFonts w:hAnsi="宋体" w:hint="eastAsia"/>
          <w:szCs w:val="24"/>
        </w:rPr>
        <w:t>供基金</w:t>
      </w:r>
      <w:proofErr w:type="gramEnd"/>
      <w:r>
        <w:rPr>
          <w:rFonts w:hAnsi="宋体" w:hint="eastAsia"/>
          <w:szCs w:val="24"/>
        </w:rPr>
        <w:t>管理人核查托管财产的完整性和真实性，在规定时间内答复基金管</w:t>
      </w:r>
      <w:r>
        <w:rPr>
          <w:rFonts w:hAnsi="宋体" w:hint="eastAsia"/>
          <w:szCs w:val="24"/>
        </w:rPr>
        <w:lastRenderedPageBreak/>
        <w:t>理人并改正。</w:t>
      </w:r>
    </w:p>
    <w:p w14:paraId="4DA5F1B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4.5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72380D57" w14:textId="77777777" w:rsidR="00E61384" w:rsidRDefault="00E61384">
      <w:pPr>
        <w:pStyle w:val="20"/>
        <w:spacing w:before="0" w:after="0" w:line="520" w:lineRule="exact"/>
        <w:ind w:left="0" w:firstLineChars="200" w:firstLine="480"/>
        <w:rPr>
          <w:rFonts w:hAnsi="宋体"/>
          <w:szCs w:val="24"/>
        </w:rPr>
      </w:pPr>
    </w:p>
    <w:p w14:paraId="6B64C474" w14:textId="77777777" w:rsidR="00E61384" w:rsidRDefault="0093607B">
      <w:pPr>
        <w:pStyle w:val="1"/>
        <w:spacing w:line="520" w:lineRule="exact"/>
        <w:ind w:firstLineChars="200" w:firstLine="482"/>
        <w:rPr>
          <w:bCs/>
          <w:color w:val="auto"/>
          <w:szCs w:val="24"/>
        </w:rPr>
      </w:pPr>
      <w:bookmarkStart w:id="32" w:name="_Toc13791"/>
      <w:bookmarkStart w:id="33" w:name="_Toc142055709"/>
      <w:bookmarkStart w:id="34" w:name="_Toc296551341"/>
      <w:bookmarkStart w:id="35" w:name="_Toc4870328"/>
      <w:r>
        <w:rPr>
          <w:rFonts w:hint="eastAsia"/>
          <w:bCs/>
          <w:color w:val="auto"/>
          <w:szCs w:val="24"/>
        </w:rPr>
        <w:t>第五条 基金财产保管</w:t>
      </w:r>
      <w:bookmarkEnd w:id="32"/>
      <w:bookmarkEnd w:id="33"/>
      <w:bookmarkEnd w:id="34"/>
      <w:bookmarkEnd w:id="35"/>
    </w:p>
    <w:p w14:paraId="13D18E1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5.1基金财产保管的原则</w:t>
      </w:r>
    </w:p>
    <w:p w14:paraId="69454DF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5.1.1基金财产应独立于基金管理人、基金托管人的固有财产。</w:t>
      </w:r>
    </w:p>
    <w:p w14:paraId="22CBEFD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5.1.2基金托管人应安全保管基金财产。除依据法律法规规定、基金合同和本托管协议约定及基金管理人的正当指令外，不得自行运用、处分、分配基金的任何财产。</w:t>
      </w:r>
    </w:p>
    <w:p w14:paraId="04BDDEE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5.1.3基金托管人按照规定开设基金财产的资金账户和证券账户等投资所需的其他账户。</w:t>
      </w:r>
    </w:p>
    <w:p w14:paraId="031D3A2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5.1.4基金托管人对所托管的不同基金财产分别设置账户，与基金托管人的其他业务和其他基金的托管业务实行严格的分账管理，独立核算，确保基金财产的完整与独立。</w:t>
      </w:r>
    </w:p>
    <w:p w14:paraId="134CDC2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5.1.5基金托管人根据基金管理人的指令，按照基金合同和本协议的约定保管基金财产，如有特殊情况双方可另行协商解决。</w:t>
      </w:r>
    </w:p>
    <w:p w14:paraId="06A5E8C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5.1.6除依据法律法规和基金合同的规定外，基金托管人不得委托第三人托管基金资产。</w:t>
      </w:r>
    </w:p>
    <w:p w14:paraId="25DF343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5.1.7基金托管人仅对托管账户内的基金财产承担托管职责，对于该账户之外的财产或已从该托管账户支付出去的财产的损失不承担任何责任。</w:t>
      </w:r>
    </w:p>
    <w:p w14:paraId="7EE3F93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5.2募集资金的验资</w:t>
      </w:r>
    </w:p>
    <w:p w14:paraId="0ADD0396" w14:textId="6AC55EB8" w:rsidR="00E61384" w:rsidRDefault="0093607B">
      <w:pPr>
        <w:pStyle w:val="20"/>
        <w:spacing w:before="0" w:after="0" w:line="520" w:lineRule="exact"/>
        <w:ind w:left="0" w:firstLineChars="200" w:firstLine="480"/>
        <w:rPr>
          <w:rFonts w:hAnsi="宋体"/>
          <w:szCs w:val="24"/>
        </w:rPr>
      </w:pPr>
      <w:r>
        <w:rPr>
          <w:rFonts w:hAnsi="宋体" w:hint="eastAsia"/>
          <w:szCs w:val="24"/>
        </w:rPr>
        <w:t>5.2.1</w:t>
      </w:r>
      <w:r w:rsidR="00753FC4" w:rsidRPr="00753FC4">
        <w:rPr>
          <w:rFonts w:hAnsi="宋体" w:hint="eastAsia"/>
          <w:szCs w:val="24"/>
        </w:rPr>
        <w:t>基金募集期间募集的资金应存于指定账户中。</w:t>
      </w:r>
    </w:p>
    <w:p w14:paraId="5BDF38F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5.2.2基金募集期满或基金提前结束募集之日起10日内，募集的基金份额总额、基金募集金额</w:t>
      </w:r>
      <w:r w:rsidR="006C434C" w:rsidRPr="006C434C">
        <w:rPr>
          <w:rFonts w:hAnsi="宋体" w:hint="eastAsia"/>
          <w:szCs w:val="24"/>
        </w:rPr>
        <w:t>（含网下债券认购所募集的债券按基金合同约定的估值方法计算</w:t>
      </w:r>
      <w:r w:rsidR="006C434C" w:rsidRPr="006C434C">
        <w:rPr>
          <w:rFonts w:hAnsi="宋体" w:hint="eastAsia"/>
          <w:szCs w:val="24"/>
        </w:rPr>
        <w:lastRenderedPageBreak/>
        <w:t>的价值）</w:t>
      </w:r>
      <w:r>
        <w:rPr>
          <w:rFonts w:hAnsi="宋体" w:hint="eastAsia"/>
          <w:szCs w:val="24"/>
        </w:rPr>
        <w:t>、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r w:rsidR="006C434C" w:rsidRPr="006C434C">
        <w:rPr>
          <w:rFonts w:hAnsi="宋体" w:hint="eastAsia"/>
          <w:szCs w:val="24"/>
        </w:rPr>
        <w:t>网下债券认购所募集的债券由登记机构予以冻结</w:t>
      </w:r>
      <w:r w:rsidR="006C434C">
        <w:rPr>
          <w:rFonts w:hAnsi="宋体" w:hint="eastAsia"/>
          <w:szCs w:val="24"/>
        </w:rPr>
        <w:t>。</w:t>
      </w:r>
    </w:p>
    <w:p w14:paraId="1D99C47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5.2.3</w:t>
      </w:r>
      <w:proofErr w:type="gramStart"/>
      <w:r>
        <w:rPr>
          <w:rFonts w:hAnsi="宋体" w:hint="eastAsia"/>
          <w:szCs w:val="24"/>
        </w:rPr>
        <w:t>若基金</w:t>
      </w:r>
      <w:proofErr w:type="gramEnd"/>
      <w:r>
        <w:rPr>
          <w:rFonts w:hAnsi="宋体" w:hint="eastAsia"/>
          <w:szCs w:val="24"/>
        </w:rPr>
        <w:t>募集期限届满，未能达到基金备案条件，由基金管理人按规定办理退款事宜</w:t>
      </w:r>
      <w:r w:rsidR="006C434C" w:rsidRPr="006C434C">
        <w:rPr>
          <w:rFonts w:hAnsi="宋体" w:hint="eastAsia"/>
          <w:szCs w:val="24"/>
        </w:rPr>
        <w:t>和债券的退还</w:t>
      </w:r>
      <w:r w:rsidR="006C434C">
        <w:rPr>
          <w:rFonts w:hAnsi="宋体" w:hint="eastAsia"/>
          <w:szCs w:val="24"/>
        </w:rPr>
        <w:t>工作</w:t>
      </w:r>
      <w:r>
        <w:rPr>
          <w:rFonts w:hAnsi="宋体" w:hint="eastAsia"/>
          <w:szCs w:val="24"/>
        </w:rPr>
        <w:t>，基金托管人应提供充分协助。</w:t>
      </w:r>
    </w:p>
    <w:p w14:paraId="2F129D1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5.3基金的银行账户的开立和管理</w:t>
      </w:r>
    </w:p>
    <w:p w14:paraId="7821340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5.3.1基金托管人以本基金的名义在其营业机构开立基金的银行账户，并根据基金管理人合法合</w:t>
      </w:r>
      <w:proofErr w:type="gramStart"/>
      <w:r>
        <w:rPr>
          <w:rFonts w:hAnsi="宋体" w:hint="eastAsia"/>
          <w:szCs w:val="24"/>
        </w:rPr>
        <w:t>规</w:t>
      </w:r>
      <w:proofErr w:type="gramEnd"/>
      <w:r>
        <w:rPr>
          <w:rFonts w:hAnsi="宋体" w:hint="eastAsia"/>
          <w:szCs w:val="24"/>
        </w:rPr>
        <w:t>的指令办理资金收付。本基金银行账户的预留印鉴由基金托管人保管和使用。</w:t>
      </w:r>
    </w:p>
    <w:p w14:paraId="2CD4CA2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5.3.2基金银行账户的开立和使用，限于满足开展本基金业务的需要。基金托管人和基金管理人不得假借本基金的名义开立任何其他银行账户；亦不得使用基金的任何账户进行本基金业务以外的活动。</w:t>
      </w:r>
    </w:p>
    <w:p w14:paraId="7A5B1DA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5.3.3基金银行账户的开立和管理应符合有关法律法规以及银行业监督管理机构的有关规定。</w:t>
      </w:r>
    </w:p>
    <w:p w14:paraId="148D0BA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5.4基金证券账户与证券交易资金账户的开设和管理：</w:t>
      </w:r>
    </w:p>
    <w:p w14:paraId="0203B41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5.4.1基金托管人以基金托管人和本基金联名的方式在中国证券登记结算有限责任公司开设证券账户。</w:t>
      </w:r>
    </w:p>
    <w:p w14:paraId="6320D4A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5.4.2基金托管人以基金托管人的名义在中国证券登记结算有限责任公司开立基金证券交易资金账户，用于证券清算。</w:t>
      </w:r>
    </w:p>
    <w:p w14:paraId="7D8C20D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5.4.3基金证券账户的开立和使用，限于满足开展本基金业务的需要。基金托管人和基金管理人不得出借和未经对方同意擅自转让基金的任何证券账户；亦不得使用基金的任何账户进行本基金业务以外的活动。</w:t>
      </w:r>
    </w:p>
    <w:p w14:paraId="03D555E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5.5债券托管账户的开立和管理</w:t>
      </w:r>
    </w:p>
    <w:p w14:paraId="2A4CC7B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5.5.1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E95D68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5.5.2基金管理人和基金托管人应一起负责为基金对外签订全国银行间国债市场回购主协议，正本由基金托管人保管，基金管理人保存副本。</w:t>
      </w:r>
    </w:p>
    <w:p w14:paraId="3553AAD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5.6其他账户的开设和管理</w:t>
      </w:r>
    </w:p>
    <w:p w14:paraId="65CEFED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在本托管协议生效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11318B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5.7基金财产投资的有关实物证券、银行定期存款存单等有价凭证的保管</w:t>
      </w:r>
    </w:p>
    <w:p w14:paraId="64A79DB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财产投资的有关实物证券、银行定期存款存单等有价凭证由基金托管人存放于基金托管人的保管库；其中实物证券也可存入中央国债登记结算有限责任公司、中国证券登记结算有限责任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p>
    <w:p w14:paraId="0D5B282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5.8与基金财产有关的重大合同的保管</w:t>
      </w:r>
    </w:p>
    <w:p w14:paraId="7D20983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w:t>
      </w:r>
      <w:r w:rsidR="00CC4FBA">
        <w:rPr>
          <w:rFonts w:hAnsi="宋体" w:hint="eastAsia"/>
          <w:szCs w:val="24"/>
        </w:rPr>
        <w:t>尽量</w:t>
      </w:r>
      <w:r>
        <w:rPr>
          <w:rFonts w:hAnsi="宋体" w:hint="eastAsia"/>
          <w:szCs w:val="24"/>
        </w:rPr>
        <w:t>保证一方持有两份以上的正本原件，以便基金管理人和基金托管人至少各持有一份正本的原件。基金管理人在合同签署后30个工作日内通过专人送达、挂号邮寄等安全方式将合同送达基</w:t>
      </w:r>
      <w:r>
        <w:rPr>
          <w:rFonts w:hAnsi="宋体" w:hint="eastAsia"/>
          <w:szCs w:val="24"/>
        </w:rPr>
        <w:lastRenderedPageBreak/>
        <w:t>金托管人处。合同应存放于基金管理人和基金托管人各自文件保管部门，并按规定期限保管，保管期限不低于法律法规规定的最低期限。对于无法取得二份以上的正本的，基金管理人应向基金托管人提供加盖授权业务章的合同传真件或复印件，未经双方协商或未在合同约定范围内，合同原件不得转移，由基金管理人保管。</w:t>
      </w:r>
    </w:p>
    <w:p w14:paraId="667B6DD5" w14:textId="77777777" w:rsidR="00E61384" w:rsidRDefault="00E61384">
      <w:pPr>
        <w:pStyle w:val="20"/>
        <w:spacing w:before="0" w:after="0" w:line="520" w:lineRule="exact"/>
        <w:ind w:left="0" w:firstLineChars="200" w:firstLine="480"/>
        <w:rPr>
          <w:rFonts w:hAnsi="宋体"/>
          <w:szCs w:val="24"/>
        </w:rPr>
      </w:pPr>
    </w:p>
    <w:p w14:paraId="28318316" w14:textId="77777777" w:rsidR="00E61384" w:rsidRDefault="0093607B">
      <w:pPr>
        <w:pStyle w:val="1"/>
        <w:spacing w:line="520" w:lineRule="exact"/>
        <w:ind w:firstLineChars="200" w:firstLine="482"/>
        <w:rPr>
          <w:bCs/>
          <w:color w:val="auto"/>
          <w:szCs w:val="24"/>
        </w:rPr>
      </w:pPr>
      <w:bookmarkStart w:id="36" w:name="_Toc142055710"/>
      <w:bookmarkStart w:id="37" w:name="_Toc296551342"/>
      <w:bookmarkStart w:id="38" w:name="_Toc4870329"/>
      <w:bookmarkStart w:id="39" w:name="_Toc8227"/>
      <w:r>
        <w:rPr>
          <w:rFonts w:hint="eastAsia"/>
          <w:bCs/>
          <w:color w:val="auto"/>
          <w:szCs w:val="24"/>
        </w:rPr>
        <w:t>第六条 指令的发送、确认和执行</w:t>
      </w:r>
      <w:bookmarkEnd w:id="36"/>
      <w:bookmarkEnd w:id="37"/>
      <w:bookmarkEnd w:id="38"/>
      <w:bookmarkEnd w:id="39"/>
    </w:p>
    <w:p w14:paraId="0E7E9C6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6.1基金管理人对发送指令人员的书面授权</w:t>
      </w:r>
    </w:p>
    <w:p w14:paraId="2A42610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管理人应向基金托管人提供预留印鉴和被授权人签字样本，事先书面通知（以下简称“授权通知”）基金托管人有权发送指令的人员名单，注明相应的交易权限，并规定基金管理人向基金托管人发送指令时基金托管人确认有权发送人员身份的方法。基金托管人在收到授权通知当日回函向基金管理人确认。基金管理人在收到基金托管人的确认回函之后，授权通知生效。基金管理人和基金托管人对授权文件负有保密义务，其内容不得向被授权人及相关操作人员以外的任何人泄露，法律法规另有规定或有权机关另有要求的除外。</w:t>
      </w:r>
    </w:p>
    <w:p w14:paraId="4F91F67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6.2指令的内容</w:t>
      </w:r>
    </w:p>
    <w:p w14:paraId="2DA8ABF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指令是基金管理人在运用基金资产时，向基金托管人发出的资金划拨及其他款项收付的指令。基金管理人发给基金托管人的指令应写明款项事由、支付时间、到账时间、金额、账户等，加盖预留印鉴并由被授权人签字或盖章。</w:t>
      </w:r>
    </w:p>
    <w:p w14:paraId="3AD9E4D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6.3指令的发送、确认和执行的时间和程序</w:t>
      </w:r>
    </w:p>
    <w:p w14:paraId="542C07B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6.3.1指令由“授权通知”确定的有权发送人（以下简称“被授权人”）代表基金管理人用传真的方式或其他基金托管人和基金管理人书面确认过的方式向基金托管人发送。基金管理人有义务在发送指令后及时与基金托管人进行确认，因基金管理人未能及时与基金托管人进行指令确认,致使资金未能及时到账所造成的损失不由基金托管人承担。基金托管人依照“授权通知”规定的方法确认指令有效后，方可执行指令。对于被授权人发出的指令，基金管理人不得否认其效力。基金管理人应按照《基金法》、有关法律法规和基金合同的规定，在其合法的经营权限</w:t>
      </w:r>
      <w:r>
        <w:rPr>
          <w:rFonts w:hAnsi="宋体" w:hint="eastAsia"/>
          <w:szCs w:val="24"/>
        </w:rPr>
        <w:lastRenderedPageBreak/>
        <w:t>和交易权限内发送划款指令，被授权人应按照其授权权限发送划款指令。基金管理人在发送指令时，应为基金托管人留出执行指令所必需的时间（不少于2小时）。基金管理人应在交易日15:30前传真当日划款指令，如在15:30后传真的指令，基金托管人尽量执行但不保证一定完成支付。由基金管理</w:t>
      </w:r>
      <w:proofErr w:type="gramStart"/>
      <w:r>
        <w:rPr>
          <w:rFonts w:hAnsi="宋体" w:hint="eastAsia"/>
          <w:szCs w:val="24"/>
        </w:rPr>
        <w:t>人原因</w:t>
      </w:r>
      <w:proofErr w:type="gramEnd"/>
      <w:r>
        <w:rPr>
          <w:rFonts w:hAnsi="宋体" w:hint="eastAsia"/>
          <w:szCs w:val="24"/>
        </w:rPr>
        <w:t>造成的指令传输不及时、未能留出足够划款所需时间，基金托管人不承担资金未能及时到账所造成的损失。</w:t>
      </w:r>
    </w:p>
    <w:p w14:paraId="3830862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6.3.2基金托管人根据本协议相关约定仅履行表面一致形式审核职责，对指令的真实性不承担责任。如果基金管理人的指令存在事实上未经授权、欺诈、伪造、变造或未能及时提供授权通知等情形，基金托管人不承担因执行有关指令或拒绝执行有关指令而给基金管理人或基金财产或任何第三</w:t>
      </w:r>
      <w:proofErr w:type="gramStart"/>
      <w:r>
        <w:rPr>
          <w:rFonts w:hAnsi="宋体" w:hint="eastAsia"/>
          <w:szCs w:val="24"/>
        </w:rPr>
        <w:t>方带来</w:t>
      </w:r>
      <w:proofErr w:type="gramEnd"/>
      <w:r>
        <w:rPr>
          <w:rFonts w:hAnsi="宋体" w:hint="eastAsia"/>
          <w:szCs w:val="24"/>
        </w:rPr>
        <w:t>的损失，全部责任由基金管理人承担，基金托管人由此遭受的损失，由基金管理人负责赔偿，但基金托管人未按协议约定</w:t>
      </w:r>
      <w:proofErr w:type="gramStart"/>
      <w:r>
        <w:rPr>
          <w:rFonts w:hAnsi="宋体" w:hint="eastAsia"/>
          <w:szCs w:val="24"/>
        </w:rPr>
        <w:t>尽形式</w:t>
      </w:r>
      <w:proofErr w:type="gramEnd"/>
      <w:r>
        <w:rPr>
          <w:rFonts w:hAnsi="宋体" w:hint="eastAsia"/>
          <w:szCs w:val="24"/>
        </w:rPr>
        <w:t>审核义务执行指令而造成损失的情形除外。</w:t>
      </w:r>
    </w:p>
    <w:p w14:paraId="3897EA2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6.3.3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相应的责任。基金托管人由此遭受的损失，由基金管理人负责赔偿。</w:t>
      </w:r>
    </w:p>
    <w:p w14:paraId="36FF8FE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6.3.4基金托管人应指定专人接收基金管理人的指令，预先通知基金管理人其名单，并与基金管理人商定指令发送和接收方式。基金托管人收到基金管理人发送的指令后，应对指令进行表面形式审查，验证指令的要素是否齐全，传真</w:t>
      </w:r>
      <w:proofErr w:type="gramStart"/>
      <w:r>
        <w:rPr>
          <w:rFonts w:hAnsi="宋体" w:hint="eastAsia"/>
          <w:szCs w:val="24"/>
        </w:rPr>
        <w:t>指令仅</w:t>
      </w:r>
      <w:proofErr w:type="gramEnd"/>
      <w:r>
        <w:rPr>
          <w:rFonts w:hAnsi="宋体" w:hint="eastAsia"/>
          <w:szCs w:val="24"/>
        </w:rPr>
        <w:t>对划款指令的印鉴及被授权人签章等通过肉眼辨识的方式与预留印鉴和签章样本进行比对，形式上不存在重大差异的，即视为通过表面审查。基金管理人出具的划款指令中的编号不属于指令要素，属于基金管理人内部业务信息，基金托管人不对指令编号承担任何审核职责；基金管理人应确保其在划款指令中填写的内容真实、准确、完整，划款指令编号不存在重复。因划款指令编号重复、编号不连续、空缺导致的重复性扣款，所产生的责任由基金管理人承担，与基金托管人无关。指令复核</w:t>
      </w:r>
      <w:r>
        <w:rPr>
          <w:rFonts w:hAnsi="宋体" w:hint="eastAsia"/>
          <w:szCs w:val="24"/>
        </w:rPr>
        <w:lastRenderedPageBreak/>
        <w:t>无误后应在规定期限内及时执行。指令若以传真方式发出，则正本由基金管理人保管，基金托管人保管指令传真件。当两者不一致时，以基金托管人收到的指令传真件为准。</w:t>
      </w:r>
    </w:p>
    <w:p w14:paraId="054126D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6.3.5基金管理人应将同业市场国债交易通知单加盖预留印鉴后传真给基金托管人。</w:t>
      </w:r>
    </w:p>
    <w:p w14:paraId="2F7B618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6.4基金管理人发送错误指令的情形和处理程序</w:t>
      </w:r>
    </w:p>
    <w:p w14:paraId="2B59D2C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6.4.1基金管理人发送错误指令的情形包括指令违反相关法律法规或基金合同、指令发送人员无权或超越权限发送指令及交割信息错误，指令中重要信息模糊不清或不全等。</w:t>
      </w:r>
    </w:p>
    <w:p w14:paraId="2FF73E5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6.4.2基金托管人在履行监督职能时，发现基金管理人的指令错误或指令中重要信息模糊不清或不全时，有权</w:t>
      </w:r>
      <w:r>
        <w:rPr>
          <w:rFonts w:hAnsi="宋体" w:cs="Arial" w:hint="eastAsia"/>
        </w:rPr>
        <w:t>视情况暂缓或</w:t>
      </w:r>
      <w:r>
        <w:rPr>
          <w:rFonts w:hAnsi="宋体" w:hint="eastAsia"/>
          <w:szCs w:val="24"/>
        </w:rPr>
        <w:t>拒绝执行，并及时通知基金管理人改正。</w:t>
      </w:r>
    </w:p>
    <w:p w14:paraId="3B1F254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6.5基金托管人依照法律法规暂缓、拒绝执行指令的情形和处理程序</w:t>
      </w:r>
    </w:p>
    <w:p w14:paraId="34E541C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托管人发现基金管理人发送的指令违反《基金法》、基金合同、本协议或有关基金法规的有关规定，有权视情况暂缓或不予执行，并应及时以书面形式通知基金管理人纠正，基金托管人不承担相应损失和责任。对基金管理人更正并重新发送后的指令经基金托管人核对确认后方能执行。</w:t>
      </w:r>
    </w:p>
    <w:p w14:paraId="5A1918E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6.6基金托管人未按照基金管理人指令执行的处理方法</w:t>
      </w:r>
    </w:p>
    <w:p w14:paraId="0FDC425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基金托管人由于自身原因造成未按照或者未及时按照基金管理人发送的符合法律法规规定以及基金合同约定的指令执行，给基金份额持有人、基金管理人或</w:t>
      </w:r>
      <w:r>
        <w:rPr>
          <w:rFonts w:hAnsi="宋体"/>
          <w:szCs w:val="24"/>
        </w:rPr>
        <w:t>基金财产</w:t>
      </w:r>
      <w:r>
        <w:rPr>
          <w:rFonts w:hAnsi="宋体" w:hint="eastAsia"/>
          <w:szCs w:val="24"/>
        </w:rPr>
        <w:t>造成损失的，应负赔偿责任。</w:t>
      </w:r>
    </w:p>
    <w:p w14:paraId="0FE8B0F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6.7更换被授权人的程序</w:t>
      </w:r>
    </w:p>
    <w:p w14:paraId="6CDA76A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管理人撤换被授权人员或改变被授权人员的权限，必须提前至少1个交易日，使用传真向基金托管人发出由基金管理人签字和盖章的被授权人变更通知，同时电话通知基金托管人，基金托管人收到变更通知当日将回函书面传真基金管理人并通过电话向基金管理人确认。被授权人变更通知，自基金管理人收到基金托</w:t>
      </w:r>
      <w:r>
        <w:rPr>
          <w:rFonts w:hAnsi="宋体" w:hint="eastAsia"/>
          <w:szCs w:val="24"/>
        </w:rPr>
        <w:lastRenderedPageBreak/>
        <w:t>管人以传真形式发出的回函确认时开始生效。基金管理人在此后5日内将被授权人变更通知的正本送交基金托管人。被授权人变更通知的正本应与传真内容一致，若有不一致的，以基金托管人收到的传真件为准。基金管理人更换被授权人通知生效后，对于已被撤换的人员无权发送的指令，或被改变授权人员超权限发送的指令，基金管理人不承担责任。</w:t>
      </w:r>
    </w:p>
    <w:p w14:paraId="1407E7D3" w14:textId="77777777" w:rsidR="00E61384" w:rsidRDefault="00E61384">
      <w:pPr>
        <w:pStyle w:val="20"/>
        <w:spacing w:before="0" w:after="0" w:line="520" w:lineRule="exact"/>
        <w:ind w:left="0" w:firstLineChars="200" w:firstLine="480"/>
        <w:rPr>
          <w:rFonts w:hAnsi="宋体"/>
          <w:szCs w:val="24"/>
        </w:rPr>
      </w:pPr>
    </w:p>
    <w:p w14:paraId="0E5551D0" w14:textId="77777777" w:rsidR="00E61384" w:rsidRDefault="0093607B">
      <w:pPr>
        <w:pStyle w:val="1"/>
        <w:spacing w:line="520" w:lineRule="exact"/>
        <w:ind w:firstLineChars="200" w:firstLine="482"/>
        <w:rPr>
          <w:bCs/>
          <w:color w:val="auto"/>
          <w:szCs w:val="24"/>
        </w:rPr>
      </w:pPr>
      <w:bookmarkStart w:id="40" w:name="_Toc6868"/>
      <w:bookmarkStart w:id="41" w:name="_Toc4870330"/>
      <w:bookmarkStart w:id="42" w:name="_Toc142055711"/>
      <w:r>
        <w:rPr>
          <w:rFonts w:hint="eastAsia"/>
          <w:bCs/>
          <w:color w:val="auto"/>
          <w:szCs w:val="24"/>
        </w:rPr>
        <w:t>第七条 交易及清算交收安排</w:t>
      </w:r>
      <w:bookmarkEnd w:id="40"/>
      <w:bookmarkEnd w:id="41"/>
      <w:bookmarkEnd w:id="42"/>
      <w:r>
        <w:rPr>
          <w:rFonts w:hint="eastAsia"/>
          <w:bCs/>
          <w:color w:val="auto"/>
          <w:szCs w:val="24"/>
        </w:rPr>
        <w:t xml:space="preserve"> </w:t>
      </w:r>
    </w:p>
    <w:p w14:paraId="7A3048F7" w14:textId="77777777" w:rsidR="00E61384" w:rsidRDefault="0093607B">
      <w:pPr>
        <w:pStyle w:val="20"/>
        <w:spacing w:line="560" w:lineRule="exact"/>
        <w:rPr>
          <w:rFonts w:hAnsi="宋体"/>
          <w:szCs w:val="24"/>
        </w:rPr>
      </w:pPr>
      <w:r>
        <w:rPr>
          <w:rFonts w:hAnsi="宋体" w:hint="eastAsia"/>
          <w:szCs w:val="24"/>
        </w:rPr>
        <w:t>7.1选择代理证券、期货买卖的证券、期货经营机构的标准和程序</w:t>
      </w:r>
    </w:p>
    <w:p w14:paraId="296C129C" w14:textId="77777777" w:rsidR="00E61384" w:rsidRDefault="0093607B">
      <w:pPr>
        <w:pStyle w:val="20"/>
        <w:spacing w:line="560" w:lineRule="exact"/>
        <w:ind w:left="0" w:firstLine="480"/>
        <w:rPr>
          <w:rFonts w:hAnsi="宋体"/>
          <w:szCs w:val="24"/>
        </w:rPr>
      </w:pPr>
      <w:r>
        <w:rPr>
          <w:rFonts w:hAnsi="宋体" w:hint="eastAsia"/>
          <w:szCs w:val="24"/>
        </w:rPr>
        <w:t>7.1.1基金管理人应制</w:t>
      </w:r>
      <w:proofErr w:type="gramStart"/>
      <w:r>
        <w:rPr>
          <w:rFonts w:hAnsi="宋体" w:hint="eastAsia"/>
          <w:szCs w:val="24"/>
        </w:rPr>
        <w:t>定选择</w:t>
      </w:r>
      <w:proofErr w:type="gramEnd"/>
      <w:r>
        <w:rPr>
          <w:rFonts w:hAnsi="宋体" w:hint="eastAsia"/>
          <w:szCs w:val="24"/>
        </w:rPr>
        <w:t>代理证券买卖的证券经营机构的标准和程序。基金管理人负责选择代理本基金证券买卖的证券经营机构，使用其交易单元作为基金的专用交易单元。基金管理人和被选中的证券经营机构签订交易单元租用协议，由基金管理人提前通知基金托管人，并在法定信息披露公告中披露有关内容。交易单元保证金由被选中的证券经营机构支付。</w:t>
      </w:r>
    </w:p>
    <w:p w14:paraId="3212AD49" w14:textId="77777777" w:rsidR="00E61384" w:rsidRDefault="0093607B">
      <w:pPr>
        <w:pStyle w:val="20"/>
        <w:spacing w:line="560" w:lineRule="exact"/>
        <w:ind w:left="0" w:firstLine="480"/>
        <w:rPr>
          <w:rFonts w:hAnsi="宋体"/>
          <w:szCs w:val="24"/>
        </w:rPr>
      </w:pPr>
      <w:r>
        <w:rPr>
          <w:rFonts w:hAnsi="宋体" w:hint="eastAsia"/>
          <w:szCs w:val="24"/>
        </w:rPr>
        <w:t>7.1.2基金管理人应及时将基金专用交易单元号、佣金费率等基本信息以及变更情况及时以书面形式通知基金托管人。</w:t>
      </w:r>
    </w:p>
    <w:p w14:paraId="118E8F5B" w14:textId="77777777" w:rsidR="00E61384" w:rsidRDefault="0093607B">
      <w:pPr>
        <w:pStyle w:val="20"/>
        <w:spacing w:line="560" w:lineRule="exact"/>
        <w:ind w:left="0" w:firstLine="480"/>
        <w:rPr>
          <w:rFonts w:hAnsi="宋体"/>
          <w:szCs w:val="24"/>
        </w:rPr>
      </w:pPr>
      <w:r>
        <w:rPr>
          <w:rFonts w:hAnsi="宋体" w:hint="eastAsia"/>
          <w:szCs w:val="24"/>
        </w:rPr>
        <w:t>7.1.3基金管理人负责选择代理本基金期货交易的期货经纪机构，并与其签订期货经纪合同，其他事宜根据法律法规、基金合同的相关规定执行，若无明确规定的，可参照有关证券买卖的证券经纪机构选择的规则执行。</w:t>
      </w:r>
    </w:p>
    <w:p w14:paraId="251E54A0" w14:textId="77777777" w:rsidR="00E61384" w:rsidRDefault="0093607B">
      <w:pPr>
        <w:pStyle w:val="20"/>
        <w:spacing w:line="560" w:lineRule="exact"/>
        <w:rPr>
          <w:rFonts w:hAnsi="宋体"/>
          <w:szCs w:val="24"/>
        </w:rPr>
      </w:pPr>
      <w:r>
        <w:rPr>
          <w:rFonts w:hAnsi="宋体" w:hint="eastAsia"/>
          <w:szCs w:val="24"/>
        </w:rPr>
        <w:t>7.2基金投资证券后的清算交收安排</w:t>
      </w:r>
    </w:p>
    <w:p w14:paraId="17A14B4E" w14:textId="77777777" w:rsidR="00E61384" w:rsidRDefault="0093607B">
      <w:pPr>
        <w:pStyle w:val="20"/>
        <w:spacing w:line="560" w:lineRule="exact"/>
        <w:rPr>
          <w:rFonts w:hAnsi="宋体"/>
          <w:szCs w:val="24"/>
        </w:rPr>
      </w:pPr>
      <w:r>
        <w:rPr>
          <w:rFonts w:hAnsi="宋体" w:hint="eastAsia"/>
          <w:szCs w:val="24"/>
        </w:rPr>
        <w:t>7.2.1基金管理人和基金托管人在基金清算和交收中的责任</w:t>
      </w:r>
    </w:p>
    <w:p w14:paraId="21D2A643" w14:textId="77777777" w:rsidR="00E61384" w:rsidRDefault="0093607B">
      <w:pPr>
        <w:pStyle w:val="20"/>
        <w:spacing w:line="560" w:lineRule="exact"/>
        <w:ind w:left="0"/>
        <w:rPr>
          <w:rFonts w:hAnsi="宋体"/>
          <w:szCs w:val="24"/>
        </w:rPr>
      </w:pPr>
      <w:r>
        <w:rPr>
          <w:rFonts w:hAnsi="宋体" w:hint="eastAsia"/>
          <w:szCs w:val="24"/>
        </w:rPr>
        <w:t xml:space="preserve">    基金管理人与基金托管人应根据有关法律法规及相关业务规则，签订《证券交易资金结算协议》，用以具体明确基金管理人与基金托管人在证券交易资金结算业务中的责任。</w:t>
      </w:r>
    </w:p>
    <w:p w14:paraId="29411149" w14:textId="77777777" w:rsidR="00E61384" w:rsidRDefault="0093607B">
      <w:pPr>
        <w:pStyle w:val="20"/>
        <w:spacing w:line="560" w:lineRule="exact"/>
        <w:ind w:left="0"/>
        <w:rPr>
          <w:rFonts w:hAnsi="宋体"/>
          <w:szCs w:val="24"/>
        </w:rPr>
      </w:pPr>
      <w:r>
        <w:rPr>
          <w:rFonts w:hAnsi="宋体" w:hint="eastAsia"/>
          <w:szCs w:val="24"/>
        </w:rPr>
        <w:t xml:space="preserve">    对基金管理人的资金划拨指令，基金托管人在复核无误后应在规定期限内执</w:t>
      </w:r>
      <w:r>
        <w:rPr>
          <w:rFonts w:hAnsi="宋体" w:hint="eastAsia"/>
          <w:szCs w:val="24"/>
        </w:rPr>
        <w:lastRenderedPageBreak/>
        <w:t>行并在执行完毕后回函确认，不得无故延误。</w:t>
      </w:r>
    </w:p>
    <w:p w14:paraId="4040F928" w14:textId="77777777" w:rsidR="00E61384" w:rsidRDefault="0093607B">
      <w:pPr>
        <w:pStyle w:val="20"/>
        <w:spacing w:line="560" w:lineRule="exact"/>
        <w:ind w:left="0" w:firstLine="480"/>
        <w:rPr>
          <w:rFonts w:hAnsi="宋体"/>
          <w:szCs w:val="24"/>
        </w:rPr>
      </w:pPr>
      <w:r>
        <w:rPr>
          <w:rFonts w:hAnsi="宋体" w:hint="eastAsia"/>
          <w:szCs w:val="24"/>
        </w:rPr>
        <w:t>本基金投资于证券发生的所有场内、场外交易的资金清算交割，全部由基金托管人负责办理。</w:t>
      </w:r>
    </w:p>
    <w:p w14:paraId="17A352FE" w14:textId="77777777" w:rsidR="00E61384" w:rsidRDefault="0093607B">
      <w:pPr>
        <w:pStyle w:val="20"/>
        <w:spacing w:line="560" w:lineRule="exact"/>
        <w:ind w:left="0" w:firstLine="480"/>
        <w:rPr>
          <w:rFonts w:hAnsi="宋体"/>
          <w:szCs w:val="24"/>
        </w:rPr>
      </w:pPr>
      <w:r>
        <w:rPr>
          <w:rFonts w:hAnsi="宋体" w:hint="eastAsia"/>
          <w:szCs w:val="24"/>
        </w:rPr>
        <w:t>本基金证券投资的清算交割，由基金托管人通过中国证券登记结算有限责任公司及清算代理银行办理。</w:t>
      </w:r>
    </w:p>
    <w:p w14:paraId="6FB39D7B" w14:textId="77777777" w:rsidR="00E61384" w:rsidRDefault="0093607B">
      <w:pPr>
        <w:pStyle w:val="20"/>
        <w:spacing w:line="560" w:lineRule="exact"/>
        <w:ind w:left="0" w:firstLine="480"/>
        <w:rPr>
          <w:rFonts w:hAnsi="宋体"/>
          <w:szCs w:val="24"/>
        </w:rPr>
      </w:pPr>
      <w:r>
        <w:rPr>
          <w:rFonts w:hAnsi="宋体" w:hint="eastAsia"/>
          <w:szCs w:val="24"/>
        </w:rPr>
        <w:t>交易及清算交收安排中基金管理人应为基金托管人预留</w:t>
      </w:r>
      <w:r>
        <w:rPr>
          <w:rFonts w:hAnsi="宋体"/>
          <w:szCs w:val="24"/>
        </w:rPr>
        <w:t>2个小时的指令处理时间，15:00之后收到的指令，基金托管人尽力负责但不承诺指令支付成功。</w:t>
      </w:r>
      <w:r>
        <w:rPr>
          <w:rFonts w:hAnsi="宋体" w:hint="eastAsia"/>
          <w:szCs w:val="24"/>
        </w:rPr>
        <w:t>如果因基金托管</w:t>
      </w:r>
      <w:proofErr w:type="gramStart"/>
      <w:r>
        <w:rPr>
          <w:rFonts w:hAnsi="宋体" w:hint="eastAsia"/>
          <w:szCs w:val="24"/>
        </w:rPr>
        <w:t>人原因</w:t>
      </w:r>
      <w:proofErr w:type="gramEnd"/>
      <w:r>
        <w:rPr>
          <w:rFonts w:hAnsi="宋体" w:hint="eastAsia"/>
          <w:szCs w:val="24"/>
        </w:rPr>
        <w:t>在清算和交收中造成基金财产的损失，应由基金托管人负责赔偿基金的损失；如果因为基金管理人违反法律法规的规定进行证券投资或违反双方签订的《证券交易资金结算协议》而造成基金投资清算困难和风险的，基金托管人发现后应立即通知基金管理人，由基金管理人负责解决，由此给基金造成的损失由基金管理人承担。</w:t>
      </w:r>
    </w:p>
    <w:p w14:paraId="58AD7543" w14:textId="77777777" w:rsidR="00E61384" w:rsidRDefault="0093607B">
      <w:pPr>
        <w:pStyle w:val="20"/>
        <w:spacing w:line="560" w:lineRule="exact"/>
        <w:ind w:left="0" w:firstLine="480"/>
        <w:rPr>
          <w:rFonts w:hAnsi="宋体"/>
          <w:szCs w:val="24"/>
        </w:rPr>
      </w:pPr>
      <w:r>
        <w:rPr>
          <w:rFonts w:hAnsi="宋体" w:hint="eastAsia"/>
          <w:szCs w:val="24"/>
        </w:rPr>
        <w:t>基金清算交</w:t>
      </w:r>
      <w:proofErr w:type="gramStart"/>
      <w:r>
        <w:rPr>
          <w:rFonts w:hAnsi="宋体" w:hint="eastAsia"/>
          <w:szCs w:val="24"/>
        </w:rPr>
        <w:t>收过程</w:t>
      </w:r>
      <w:proofErr w:type="gramEnd"/>
      <w:r>
        <w:rPr>
          <w:rFonts w:hAnsi="宋体" w:hint="eastAsia"/>
          <w:szCs w:val="24"/>
        </w:rPr>
        <w:t>中，出现基金财产中资金或证券不足以交收的，基金托管人应当及时通知基金管理人，督促基金管理人积极采取措施、最大程度控制违约交收风险与相关损失，并报告中国证监会。</w:t>
      </w:r>
    </w:p>
    <w:p w14:paraId="117875AB" w14:textId="77777777" w:rsidR="00E61384" w:rsidRDefault="0093607B">
      <w:pPr>
        <w:pStyle w:val="20"/>
        <w:spacing w:line="560" w:lineRule="exact"/>
        <w:rPr>
          <w:rFonts w:hAnsi="宋体"/>
          <w:szCs w:val="24"/>
        </w:rPr>
      </w:pPr>
      <w:r>
        <w:rPr>
          <w:rFonts w:hAnsi="宋体" w:hint="eastAsia"/>
          <w:szCs w:val="24"/>
        </w:rPr>
        <w:t>7.2.2基金出现超买或超卖的责任认定及处理程序</w:t>
      </w:r>
    </w:p>
    <w:p w14:paraId="5546CAEE" w14:textId="77777777" w:rsidR="00E61384" w:rsidRDefault="0093607B">
      <w:pPr>
        <w:pStyle w:val="20"/>
        <w:spacing w:line="560" w:lineRule="exact"/>
        <w:ind w:left="0"/>
        <w:rPr>
          <w:rFonts w:hAnsi="宋体"/>
          <w:szCs w:val="24"/>
        </w:rPr>
      </w:pPr>
      <w:r>
        <w:rPr>
          <w:rFonts w:hAnsi="宋体" w:hint="eastAsia"/>
          <w:szCs w:val="24"/>
        </w:rPr>
        <w:t xml:space="preserve">    基金托管人在履行监督职能时，如果发现基金投资证券过程中出现超买或超卖现象，应立即提醒基金管理人，由基金管理人负责解决，由此给基金造成的损失由基金管理人承担。</w:t>
      </w:r>
    </w:p>
    <w:p w14:paraId="17E3F3F1" w14:textId="77777777" w:rsidR="00E61384" w:rsidRDefault="0093607B">
      <w:pPr>
        <w:pStyle w:val="20"/>
        <w:spacing w:line="560" w:lineRule="exact"/>
        <w:rPr>
          <w:rFonts w:hAnsi="宋体"/>
          <w:szCs w:val="24"/>
        </w:rPr>
      </w:pPr>
      <w:r>
        <w:rPr>
          <w:rFonts w:hAnsi="宋体" w:hint="eastAsia"/>
          <w:szCs w:val="24"/>
        </w:rPr>
        <w:t>7.2.3基金无法按时支付证券清算款的责任认定及处理程序</w:t>
      </w:r>
    </w:p>
    <w:p w14:paraId="1F12121C" w14:textId="77777777" w:rsidR="00E61384" w:rsidRDefault="0093607B">
      <w:pPr>
        <w:pStyle w:val="20"/>
        <w:spacing w:line="560" w:lineRule="exact"/>
        <w:ind w:left="0"/>
        <w:rPr>
          <w:rFonts w:hAnsi="宋体"/>
          <w:szCs w:val="24"/>
        </w:rPr>
      </w:pPr>
      <w:r>
        <w:rPr>
          <w:rFonts w:hAnsi="宋体" w:hint="eastAsia"/>
          <w:szCs w:val="24"/>
        </w:rPr>
        <w:t xml:space="preserve">    基金管理人应确保基金托管人在执行基金管理人发送的指令时，有足够的头寸进行交收。基金的资金头寸不足时，基金托管人有权拒绝基金管理人发送的划款指令，并及时通知基金管理人。基金管理人在发送划款指令时应充分考虑基金托管人的划款处理所需的合理时间。如由于基金管理人的原因导致无法按时支付证券</w:t>
      </w:r>
      <w:r>
        <w:rPr>
          <w:rFonts w:hAnsi="宋体" w:hint="eastAsia"/>
          <w:szCs w:val="24"/>
        </w:rPr>
        <w:lastRenderedPageBreak/>
        <w:t>清算款，由此给基金造成的损失由基金管理人承担。</w:t>
      </w:r>
    </w:p>
    <w:p w14:paraId="134D806F" w14:textId="77777777" w:rsidR="00E61384" w:rsidRDefault="0093607B">
      <w:pPr>
        <w:pStyle w:val="20"/>
        <w:spacing w:line="560" w:lineRule="exact"/>
        <w:ind w:left="0"/>
        <w:rPr>
          <w:rFonts w:hAnsi="宋体"/>
          <w:szCs w:val="24"/>
        </w:rPr>
      </w:pPr>
      <w:r>
        <w:rPr>
          <w:rFonts w:hAnsi="宋体" w:hint="eastAsia"/>
          <w:szCs w:val="24"/>
        </w:rPr>
        <w:t xml:space="preserve">    在基金资金头寸充足的情况下，基金托管人对基金管理人符合法律法规、基金合同、本托管协议的指令不得拖延或拒绝执行。如由于基金托管人的原因导致基金无法按时支付证券清算款，由此给基金、基金管理人造成的损失由基金托管人承担。</w:t>
      </w:r>
    </w:p>
    <w:p w14:paraId="1F44E803" w14:textId="77777777" w:rsidR="00E61384" w:rsidRDefault="0093607B">
      <w:pPr>
        <w:pStyle w:val="20"/>
        <w:spacing w:line="560" w:lineRule="exact"/>
        <w:rPr>
          <w:rFonts w:hAnsi="宋体"/>
          <w:szCs w:val="24"/>
        </w:rPr>
      </w:pPr>
      <w:r>
        <w:rPr>
          <w:rFonts w:hAnsi="宋体" w:hint="eastAsia"/>
          <w:szCs w:val="24"/>
        </w:rPr>
        <w:t>7.3资金、证券账目及交易记录的核对</w:t>
      </w:r>
    </w:p>
    <w:p w14:paraId="31856BB8" w14:textId="77777777" w:rsidR="00E61384" w:rsidRDefault="0093607B">
      <w:pPr>
        <w:pStyle w:val="20"/>
        <w:spacing w:line="560" w:lineRule="exact"/>
        <w:ind w:left="0"/>
        <w:rPr>
          <w:rFonts w:hAnsi="宋体"/>
          <w:szCs w:val="24"/>
        </w:rPr>
      </w:pPr>
      <w:r>
        <w:rPr>
          <w:rFonts w:hAnsi="宋体" w:hint="eastAsia"/>
          <w:szCs w:val="24"/>
        </w:rPr>
        <w:t xml:space="preserve">    7.3.1基金管理人与基金托管人按日进行交易记录的核对。对外披露各类基金份额净值之前，必须保证当天所有实际交易记录与基金会计账簿上的交易记录完全一致。如果实际交易记录与会计账簿记录不一致，造成基金会计核算不完整或不真实，由此导致的损失由责任方承担。</w:t>
      </w:r>
    </w:p>
    <w:p w14:paraId="66824743" w14:textId="77777777" w:rsidR="00E61384" w:rsidRDefault="0093607B">
      <w:pPr>
        <w:pStyle w:val="20"/>
        <w:spacing w:line="560" w:lineRule="exact"/>
        <w:ind w:left="0"/>
        <w:rPr>
          <w:rFonts w:hAnsi="宋体"/>
          <w:szCs w:val="24"/>
        </w:rPr>
      </w:pPr>
      <w:r>
        <w:rPr>
          <w:rFonts w:hAnsi="宋体" w:hint="eastAsia"/>
          <w:szCs w:val="24"/>
        </w:rPr>
        <w:t xml:space="preserve">    7.3.2对基金的资金账目，由相关各方每日对账一次，确保相关各方账</w:t>
      </w:r>
      <w:proofErr w:type="gramStart"/>
      <w:r>
        <w:rPr>
          <w:rFonts w:hAnsi="宋体" w:hint="eastAsia"/>
          <w:szCs w:val="24"/>
        </w:rPr>
        <w:t>账</w:t>
      </w:r>
      <w:proofErr w:type="gramEnd"/>
      <w:r>
        <w:rPr>
          <w:rFonts w:hAnsi="宋体" w:hint="eastAsia"/>
          <w:szCs w:val="24"/>
        </w:rPr>
        <w:t>相符。对基金证券账目，由相关各方每日进行对账。对实物</w:t>
      </w:r>
      <w:proofErr w:type="gramStart"/>
      <w:r>
        <w:rPr>
          <w:rFonts w:hAnsi="宋体" w:hint="eastAsia"/>
          <w:szCs w:val="24"/>
        </w:rPr>
        <w:t>券</w:t>
      </w:r>
      <w:proofErr w:type="gramEnd"/>
      <w:r>
        <w:rPr>
          <w:rFonts w:hAnsi="宋体" w:hint="eastAsia"/>
          <w:szCs w:val="24"/>
        </w:rPr>
        <w:t>账目，每月月末由相关各方进行账实核对。对交易记录，由相关各方每日对账一次。</w:t>
      </w:r>
    </w:p>
    <w:p w14:paraId="2EF4B1E1" w14:textId="77777777" w:rsidR="00E61384" w:rsidRDefault="0093607B" w:rsidP="00E60A25">
      <w:pPr>
        <w:pStyle w:val="20"/>
        <w:spacing w:line="560" w:lineRule="exact"/>
        <w:ind w:left="0" w:firstLineChars="200" w:firstLine="480"/>
        <w:rPr>
          <w:rFonts w:hAnsi="宋体"/>
          <w:szCs w:val="24"/>
        </w:rPr>
      </w:pPr>
      <w:r>
        <w:rPr>
          <w:rFonts w:hAnsi="宋体" w:hint="eastAsia"/>
          <w:szCs w:val="24"/>
        </w:rPr>
        <w:t>7.4申购、赎回的资金清算</w:t>
      </w:r>
    </w:p>
    <w:p w14:paraId="7C58C4B9" w14:textId="77777777" w:rsidR="00E61384" w:rsidRDefault="0093607B" w:rsidP="00E60A25">
      <w:pPr>
        <w:pStyle w:val="20"/>
        <w:spacing w:line="560" w:lineRule="exact"/>
        <w:ind w:left="0" w:firstLineChars="200" w:firstLine="480"/>
        <w:rPr>
          <w:rFonts w:hAnsi="宋体" w:cs="宋体"/>
          <w:szCs w:val="24"/>
        </w:rPr>
      </w:pPr>
      <w:r>
        <w:rPr>
          <w:rFonts w:hAnsi="宋体" w:cs="宋体" w:hint="eastAsia"/>
          <w:szCs w:val="24"/>
        </w:rPr>
        <w:t>1、</w:t>
      </w:r>
      <w:r>
        <w:rPr>
          <w:rFonts w:hAnsi="宋体" w:hint="eastAsia"/>
          <w:szCs w:val="21"/>
        </w:rPr>
        <w:t>基金管理人和基金托管人应当按照《基金合同》、《招募说明书》的约定，在基金申购、赎回的时间、场所、方式、程序、价格、费用、收款或付款等各方面相互配合，积极履行各自的义务，保证基金的申购、赎回工作能够顺利进行。</w:t>
      </w:r>
    </w:p>
    <w:p w14:paraId="747FF20D" w14:textId="77777777" w:rsidR="00E61384" w:rsidRDefault="0093607B">
      <w:pPr>
        <w:pStyle w:val="20"/>
        <w:spacing w:before="0" w:after="0" w:line="560" w:lineRule="exact"/>
        <w:ind w:left="0" w:firstLine="480"/>
        <w:rPr>
          <w:rFonts w:hAnsi="宋体"/>
          <w:szCs w:val="24"/>
        </w:rPr>
      </w:pPr>
      <w:r>
        <w:rPr>
          <w:rFonts w:hAnsi="宋体" w:cs="宋体" w:hint="eastAsia"/>
          <w:szCs w:val="24"/>
        </w:rPr>
        <w:t>2、</w:t>
      </w:r>
      <w:r>
        <w:rPr>
          <w:rFonts w:hAnsi="宋体" w:cs="宋体"/>
          <w:szCs w:val="24"/>
        </w:rPr>
        <w:t>申购赎回发生的现金替代款、现金差额、现金替代的退款和补款由基金管理人按相关业务规则及合同办理。对于基金申购、赎回过程中产生的应收款，应由基金管理人负责与有关当事人确定到账日期并通知基金托管人，到账日应收款没有到达银行托管账户的，基金托管人应及时通知基金管理人采取措施进行催收，由此给基金造成损失的，基金管理人负责向责任方追偿基金的损失。拨付净应付款时，如基金银行托管账户有足够的资金，基金托管人应按时拨付；因基金银行托管账户没有足够的资金，导致基金托管人不能按时拨付，托管人不承担责任；如</w:t>
      </w:r>
      <w:proofErr w:type="gramStart"/>
      <w:r>
        <w:rPr>
          <w:rFonts w:hAnsi="宋体" w:cs="宋体"/>
          <w:szCs w:val="24"/>
        </w:rPr>
        <w:t>系基金</w:t>
      </w:r>
      <w:proofErr w:type="gramEnd"/>
      <w:r>
        <w:rPr>
          <w:rFonts w:hAnsi="宋体" w:cs="宋体"/>
          <w:szCs w:val="24"/>
        </w:rPr>
        <w:t>管理人的原因造成，责任由基金管理人承担，基金托管人不承担垫款</w:t>
      </w:r>
      <w:r>
        <w:rPr>
          <w:rFonts w:hAnsi="宋体" w:cs="宋体" w:hint="eastAsia"/>
          <w:szCs w:val="24"/>
        </w:rPr>
        <w:t>义务。</w:t>
      </w:r>
    </w:p>
    <w:p w14:paraId="6B75DEDF" w14:textId="77777777" w:rsidR="00E61384" w:rsidRDefault="00E61384">
      <w:pPr>
        <w:pStyle w:val="20"/>
        <w:spacing w:before="0" w:after="0" w:line="560" w:lineRule="exact"/>
        <w:ind w:left="0" w:firstLine="480"/>
        <w:rPr>
          <w:rFonts w:hAnsi="宋体"/>
          <w:szCs w:val="24"/>
        </w:rPr>
      </w:pPr>
    </w:p>
    <w:p w14:paraId="23F3FE7C" w14:textId="77777777" w:rsidR="00E61384" w:rsidRDefault="0093607B">
      <w:pPr>
        <w:pStyle w:val="1"/>
        <w:spacing w:line="520" w:lineRule="exact"/>
        <w:ind w:firstLineChars="200" w:firstLine="482"/>
        <w:rPr>
          <w:bCs/>
          <w:color w:val="auto"/>
          <w:szCs w:val="24"/>
        </w:rPr>
      </w:pPr>
      <w:bookmarkStart w:id="43" w:name="_Toc4870331"/>
      <w:bookmarkStart w:id="44" w:name="_Toc8884"/>
      <w:bookmarkStart w:id="45" w:name="_Toc296551344"/>
      <w:bookmarkStart w:id="46" w:name="_Toc142055712"/>
      <w:r>
        <w:rPr>
          <w:rFonts w:hint="eastAsia"/>
          <w:bCs/>
          <w:color w:val="auto"/>
          <w:szCs w:val="24"/>
        </w:rPr>
        <w:t>第八条 基金资产净值计算和会计核算</w:t>
      </w:r>
      <w:bookmarkEnd w:id="43"/>
      <w:bookmarkEnd w:id="44"/>
      <w:bookmarkEnd w:id="45"/>
      <w:bookmarkEnd w:id="46"/>
    </w:p>
    <w:p w14:paraId="62769D0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8.1基金资产净值的计算、复核的时间和程序</w:t>
      </w:r>
    </w:p>
    <w:p w14:paraId="7B74234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8.1.1</w:t>
      </w:r>
      <w:bookmarkStart w:id="47" w:name="_Hlk204885504"/>
      <w:r>
        <w:rPr>
          <w:rFonts w:hAnsi="宋体" w:hint="eastAsia"/>
          <w:szCs w:val="24"/>
        </w:rPr>
        <w:t>基金份额净值是按照每个</w:t>
      </w:r>
      <w:r w:rsidR="00125096">
        <w:rPr>
          <w:rFonts w:hAnsi="宋体" w:hint="eastAsia"/>
          <w:szCs w:val="24"/>
        </w:rPr>
        <w:t>估值</w:t>
      </w:r>
      <w:r>
        <w:rPr>
          <w:rFonts w:hAnsi="宋体" w:hint="eastAsia"/>
          <w:szCs w:val="24"/>
        </w:rPr>
        <w:t>日闭市后，基金资产净值除以当日基金份额的余额数量计算，精确到0.0001元，小数点后第五位四舍五入。基金管理人可以设立大额赎回情形下的净值精度应急调整机制。国家另有规定的，从其规定。</w:t>
      </w:r>
    </w:p>
    <w:p w14:paraId="3179A0E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基金管理人每个</w:t>
      </w:r>
      <w:r w:rsidR="00125096">
        <w:rPr>
          <w:rFonts w:hAnsi="宋体" w:hint="eastAsia"/>
          <w:szCs w:val="24"/>
        </w:rPr>
        <w:t>估值</w:t>
      </w:r>
      <w:r>
        <w:rPr>
          <w:rFonts w:hAnsi="宋体" w:hint="eastAsia"/>
          <w:szCs w:val="24"/>
        </w:rPr>
        <w:t>日计算基金资产净值及基金份额净值，并按规定公告。</w:t>
      </w:r>
    </w:p>
    <w:bookmarkEnd w:id="47"/>
    <w:p w14:paraId="221D7BA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8.1.2</w:t>
      </w:r>
      <w:r>
        <w:rPr>
          <w:rFonts w:ascii="Arial" w:hAnsi="Arial"/>
          <w:szCs w:val="21"/>
        </w:rPr>
        <w:t>基金管理人</w:t>
      </w:r>
      <w:proofErr w:type="gramStart"/>
      <w:r>
        <w:rPr>
          <w:rFonts w:ascii="Arial" w:hAnsi="Arial"/>
          <w:szCs w:val="21"/>
        </w:rPr>
        <w:t>应每个</w:t>
      </w:r>
      <w:proofErr w:type="gramEnd"/>
      <w:r w:rsidR="00125096">
        <w:rPr>
          <w:rFonts w:hAnsi="宋体" w:hint="eastAsia"/>
          <w:szCs w:val="24"/>
        </w:rPr>
        <w:t>估值</w:t>
      </w:r>
      <w:r>
        <w:rPr>
          <w:rFonts w:ascii="Arial" w:hAnsi="Arial"/>
          <w:szCs w:val="21"/>
        </w:rPr>
        <w:t>日对基金资产估值。但基金管理人根据法律法规或基金合同的规定暂停估值时除外。基金管理人每个工作日对基金资产估值后，将基金份额净值结果发送基金托管人，经基金托管人复核无误后，由基金管理人按规定对外公布。</w:t>
      </w:r>
      <w:r>
        <w:rPr>
          <w:rFonts w:hAnsi="宋体" w:hint="eastAsia"/>
          <w:szCs w:val="24"/>
        </w:rPr>
        <w:t>估值原则应符合基金合同、《证券投资基金会计核算业务指引》、《企业会计准则》及其他法律、法规的规定。基金资产净值和各类基金份额净值由基金管理人负责计算，基金托管人复核。</w:t>
      </w:r>
    </w:p>
    <w:p w14:paraId="601CA98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8.1.3根据《基金法》，基金管理人计算并公告基金净值，基金托管人复核、审查基金管理人计算的基金净值。因此，本基金的会计责任方是基金管理人，就与本基金有关的会计问题，如经相关各方在平等基础上充分讨论后，仍无法达成一致的意见，按照基金管理人对基金净值的计算结果对外予以公布，基金托管人对未达成一致意见的基金净值计算结果不承担任何责任。</w:t>
      </w:r>
    </w:p>
    <w:p w14:paraId="46A16CC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8.2基金资产估值方法</w:t>
      </w:r>
    </w:p>
    <w:p w14:paraId="39D7C180" w14:textId="77777777" w:rsidR="00E61384" w:rsidRDefault="0093607B">
      <w:pPr>
        <w:pStyle w:val="20"/>
        <w:spacing w:before="0" w:after="0" w:line="520" w:lineRule="exact"/>
        <w:ind w:left="0" w:firstLineChars="200" w:firstLine="480"/>
        <w:rPr>
          <w:rFonts w:hAnsi="宋体"/>
          <w:szCs w:val="24"/>
        </w:rPr>
      </w:pPr>
      <w:bookmarkStart w:id="48" w:name="_Hlk204885630"/>
      <w:bookmarkStart w:id="49" w:name="_Hlk116237948"/>
      <w:r>
        <w:rPr>
          <w:rFonts w:hAnsi="宋体" w:hint="eastAsia"/>
          <w:szCs w:val="24"/>
        </w:rPr>
        <w:t>8.2.1估值对象</w:t>
      </w:r>
    </w:p>
    <w:p w14:paraId="25271ADA" w14:textId="77777777" w:rsidR="00E61384" w:rsidRDefault="00865092">
      <w:pPr>
        <w:pStyle w:val="20"/>
        <w:spacing w:before="0" w:after="0" w:line="520" w:lineRule="exact"/>
        <w:ind w:left="0" w:firstLineChars="200" w:firstLine="480"/>
        <w:rPr>
          <w:rFonts w:hAnsi="宋体"/>
          <w:szCs w:val="24"/>
        </w:rPr>
      </w:pPr>
      <w:r w:rsidRPr="00865092">
        <w:rPr>
          <w:rFonts w:hAnsi="宋体" w:hint="eastAsia"/>
          <w:szCs w:val="24"/>
        </w:rPr>
        <w:t>基金所拥有的</w:t>
      </w:r>
      <w:r w:rsidR="00CC4FBA">
        <w:rPr>
          <w:rFonts w:hAnsi="宋体" w:hint="eastAsia"/>
          <w:szCs w:val="24"/>
        </w:rPr>
        <w:t>债券</w:t>
      </w:r>
      <w:r w:rsidRPr="00865092">
        <w:rPr>
          <w:rFonts w:hAnsi="宋体" w:hint="eastAsia"/>
          <w:szCs w:val="24"/>
        </w:rPr>
        <w:t>、信用衍生品、国债期货合约和银行存款本息、资产支持证券、应收款项、其它投资等资产及负债。</w:t>
      </w:r>
    </w:p>
    <w:p w14:paraId="683DDE6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8.2.2估值方法</w:t>
      </w:r>
    </w:p>
    <w:p w14:paraId="2889307E"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1、证券交易所上市的有价证券的估值</w:t>
      </w:r>
    </w:p>
    <w:p w14:paraId="321611EA"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（1）交易所上市的有价证券，以其估值日在证券交易所挂牌的市价（收盘价）估值；估值日无市价的，但最近交易日后经济环境未发生重大变化且证</w:t>
      </w:r>
      <w:r w:rsidRPr="00865092">
        <w:rPr>
          <w:rFonts w:hAnsi="宋体" w:hint="eastAsia"/>
          <w:szCs w:val="24"/>
        </w:rPr>
        <w:lastRenderedPageBreak/>
        <w:t>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值；</w:t>
      </w:r>
    </w:p>
    <w:p w14:paraId="13BA0412" w14:textId="77777777" w:rsidR="00865092" w:rsidRPr="00865092" w:rsidRDefault="00865092" w:rsidP="00CC4FBA">
      <w:pPr>
        <w:pStyle w:val="20"/>
        <w:spacing w:line="520" w:lineRule="exact"/>
        <w:ind w:firstLineChars="200" w:firstLine="480"/>
        <w:rPr>
          <w:rFonts w:hAnsi="宋体"/>
          <w:szCs w:val="24"/>
        </w:rPr>
      </w:pPr>
      <w:r w:rsidRPr="00865092">
        <w:rPr>
          <w:rFonts w:hAnsi="宋体" w:hint="eastAsia"/>
          <w:szCs w:val="24"/>
        </w:rPr>
        <w:t>（2）对于已上市或已挂牌转让的不含</w:t>
      </w:r>
      <w:proofErr w:type="gramStart"/>
      <w:r w:rsidRPr="00865092">
        <w:rPr>
          <w:rFonts w:hAnsi="宋体" w:hint="eastAsia"/>
          <w:szCs w:val="24"/>
        </w:rPr>
        <w:t>权固定</w:t>
      </w:r>
      <w:proofErr w:type="gramEnd"/>
      <w:r w:rsidRPr="00865092">
        <w:rPr>
          <w:rFonts w:hAnsi="宋体" w:hint="eastAsia"/>
          <w:szCs w:val="24"/>
        </w:rPr>
        <w:t>收益品种（法规另有规定的除外），选取第三方估值基准服务机构提供的相应品种当日的估值全价，基金管理人根据相关法律、法规的规定进行涉税处理(下同)。对于已上市或已挂牌转让的含</w:t>
      </w:r>
      <w:proofErr w:type="gramStart"/>
      <w:r w:rsidRPr="00865092">
        <w:rPr>
          <w:rFonts w:hAnsi="宋体" w:hint="eastAsia"/>
          <w:szCs w:val="24"/>
        </w:rPr>
        <w:t>权固定</w:t>
      </w:r>
      <w:proofErr w:type="gramEnd"/>
      <w:r w:rsidRPr="00865092">
        <w:rPr>
          <w:rFonts w:hAnsi="宋体" w:hint="eastAsia"/>
          <w:szCs w:val="24"/>
        </w:rPr>
        <w:t>收益品种（法规另有规定的除外），选取第三方估值基准服务机构提供的相应品种当日的唯一估值全价或推荐估值全价。对于含投资者回售权的固定收益品种，行使回售权的，在回售登记日至实际收款日期间选取第三方估值基准服务机构提供的相应品种的唯一估值全价或推荐估值全价，同时充分考虑发行人的信用风险变化对公允价值的影响。回售登记期截止日（含当日）后未行使回售权的按照长待偿期所对应的价格进行估值。如最近交易日后经济环境发生了重大变化的，可参考类似投资品种的现行市价及重大变化因素，调整最近交易市价，确定公允价值。</w:t>
      </w:r>
    </w:p>
    <w:p w14:paraId="623AD3A5" w14:textId="77777777" w:rsidR="00865092" w:rsidRPr="00865092" w:rsidRDefault="00865092" w:rsidP="00CE1CA2">
      <w:pPr>
        <w:pStyle w:val="20"/>
        <w:spacing w:line="520" w:lineRule="exact"/>
        <w:ind w:firstLineChars="200" w:firstLine="480"/>
        <w:rPr>
          <w:rFonts w:hAnsi="宋体"/>
          <w:szCs w:val="24"/>
        </w:rPr>
      </w:pPr>
      <w:r w:rsidRPr="00865092">
        <w:rPr>
          <w:rFonts w:hAnsi="宋体" w:hint="eastAsia"/>
          <w:szCs w:val="24"/>
        </w:rPr>
        <w:t>2、对于未上市或未挂牌转让且不存在活跃市场的固定收益品种，采用在当前情况下适用并且有足够可利用数据和其他信息支持的估值技术确定其公允价值。</w:t>
      </w:r>
    </w:p>
    <w:p w14:paraId="05D6481F"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3、对全国银行间市场已上市或已挂牌转让的不含</w:t>
      </w:r>
      <w:proofErr w:type="gramStart"/>
      <w:r w:rsidRPr="00865092">
        <w:rPr>
          <w:rFonts w:hAnsi="宋体" w:hint="eastAsia"/>
          <w:szCs w:val="24"/>
        </w:rPr>
        <w:t>权固定</w:t>
      </w:r>
      <w:proofErr w:type="gramEnd"/>
      <w:r w:rsidRPr="00865092">
        <w:rPr>
          <w:rFonts w:hAnsi="宋体" w:hint="eastAsia"/>
          <w:szCs w:val="24"/>
        </w:rPr>
        <w:t>收益品种（法规另有规定的除外），选取第三方估值基准服务机构提供的相应品种当日的估值全价，基金管理人根据相关法律、法规的规定进行涉税处理(下同)。对于已上市或已挂牌转让的含</w:t>
      </w:r>
      <w:proofErr w:type="gramStart"/>
      <w:r w:rsidRPr="00865092">
        <w:rPr>
          <w:rFonts w:hAnsi="宋体" w:hint="eastAsia"/>
          <w:szCs w:val="24"/>
        </w:rPr>
        <w:t>权固定</w:t>
      </w:r>
      <w:proofErr w:type="gramEnd"/>
      <w:r w:rsidRPr="00865092">
        <w:rPr>
          <w:rFonts w:hAnsi="宋体" w:hint="eastAsia"/>
          <w:szCs w:val="24"/>
        </w:rPr>
        <w:t>收益品种（法规另有规定的除外），选取第三方估值基准服务机构提供的相应品种当日的唯一估值全价或推荐估值全价。对于含投资者回售权的固定收益品种，行使回售权的，在回售登记日至实际收款日期间选取第三方估值基准服务机构提供的相应品种的唯一估值全价或推荐估值全价，同时充分考虑发行人的信用风险变化对公允价值的影响。回售登记期</w:t>
      </w:r>
      <w:r w:rsidRPr="00865092">
        <w:rPr>
          <w:rFonts w:hAnsi="宋体" w:hint="eastAsia"/>
          <w:szCs w:val="24"/>
        </w:rPr>
        <w:lastRenderedPageBreak/>
        <w:t>截止日（含当日）后未行使回售权的按照长待偿期所对应的价格进行估值。如最近交易日后经济环境发生了重大变化的，可参考类似投资品种的现行市价及重大变化因素，调整最近交易市价，确定公允价值。</w:t>
      </w:r>
    </w:p>
    <w:p w14:paraId="08998550"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4、同一证券同时在两个或两个以上市场交易的，按其所处的市场分别估值。</w:t>
      </w:r>
    </w:p>
    <w:p w14:paraId="049BFC72"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5、本基金持有的回购以摊</w:t>
      </w:r>
      <w:proofErr w:type="gramStart"/>
      <w:r w:rsidRPr="00865092">
        <w:rPr>
          <w:rFonts w:hAnsi="宋体" w:hint="eastAsia"/>
          <w:szCs w:val="24"/>
        </w:rPr>
        <w:t>余成本</w:t>
      </w:r>
      <w:proofErr w:type="gramEnd"/>
      <w:r w:rsidRPr="00865092">
        <w:rPr>
          <w:rFonts w:hAnsi="宋体" w:hint="eastAsia"/>
          <w:szCs w:val="24"/>
        </w:rPr>
        <w:t>列示，按合同利率在回购期间内逐日计提应收或应付利息。</w:t>
      </w:r>
    </w:p>
    <w:p w14:paraId="6F306599"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6、本基金持有的银行存款和备付金余额以摊</w:t>
      </w:r>
      <w:proofErr w:type="gramStart"/>
      <w:r w:rsidRPr="00865092">
        <w:rPr>
          <w:rFonts w:hAnsi="宋体" w:hint="eastAsia"/>
          <w:szCs w:val="24"/>
        </w:rPr>
        <w:t>余成本</w:t>
      </w:r>
      <w:proofErr w:type="gramEnd"/>
      <w:r w:rsidRPr="00865092">
        <w:rPr>
          <w:rFonts w:hAnsi="宋体" w:hint="eastAsia"/>
          <w:szCs w:val="24"/>
        </w:rPr>
        <w:t>列示，按相应利率逐日计提利息。</w:t>
      </w:r>
    </w:p>
    <w:p w14:paraId="2EB683A9"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7、本基金投资国债期货合约，一般以估值当日结算价进行估值，估值当日无结算价，且最近交易日后经济环境未发生重大变化的，采用最近交易日结算价估值。</w:t>
      </w:r>
    </w:p>
    <w:p w14:paraId="2AE5C595"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8、信用衍生品按第三方估值机构提供的当日估值价格进行估值；选定的第三方估值机构未提供估值价格时，按照有关法律法规及企业会计准则要求，采用合理估值技术确定公允价值。</w:t>
      </w:r>
    </w:p>
    <w:p w14:paraId="4BD9C124" w14:textId="77777777" w:rsidR="00865092" w:rsidRPr="00865092" w:rsidRDefault="00865092" w:rsidP="00CE1CA2">
      <w:pPr>
        <w:pStyle w:val="20"/>
        <w:spacing w:line="520" w:lineRule="exact"/>
        <w:ind w:firstLineChars="200" w:firstLine="480"/>
        <w:rPr>
          <w:rFonts w:hAnsi="宋体"/>
          <w:szCs w:val="24"/>
        </w:rPr>
      </w:pPr>
      <w:r w:rsidRPr="00865092">
        <w:rPr>
          <w:rFonts w:hAnsi="宋体" w:hint="eastAsia"/>
          <w:szCs w:val="24"/>
        </w:rPr>
        <w:t>9、如有确凿证据表明按上述方法进行估值不能客观反映其公允价值的，基金管理人可根据具体情况与基金托管人商定后，按最能反映公允价值的价格估值。</w:t>
      </w:r>
    </w:p>
    <w:p w14:paraId="7BD35E03" w14:textId="77777777" w:rsidR="00865092" w:rsidRPr="00865092" w:rsidRDefault="00125096" w:rsidP="00865092">
      <w:pPr>
        <w:pStyle w:val="20"/>
        <w:spacing w:line="520" w:lineRule="exact"/>
        <w:ind w:firstLineChars="200" w:firstLine="480"/>
        <w:rPr>
          <w:rFonts w:hAnsi="宋体"/>
          <w:szCs w:val="24"/>
        </w:rPr>
      </w:pPr>
      <w:r w:rsidRPr="00865092">
        <w:rPr>
          <w:rFonts w:hAnsi="宋体" w:hint="eastAsia"/>
          <w:szCs w:val="24"/>
        </w:rPr>
        <w:t>1</w:t>
      </w:r>
      <w:r>
        <w:rPr>
          <w:rFonts w:hAnsi="宋体"/>
          <w:szCs w:val="24"/>
        </w:rPr>
        <w:t>0</w:t>
      </w:r>
      <w:r w:rsidR="00865092" w:rsidRPr="00865092">
        <w:rPr>
          <w:rFonts w:hAnsi="宋体" w:hint="eastAsia"/>
          <w:szCs w:val="24"/>
        </w:rPr>
        <w:t>、相关法律法规以及监管部门有强制规定的，从其规定。如有新增事项，按国家最新规定估值。</w:t>
      </w:r>
    </w:p>
    <w:p w14:paraId="76CA946B" w14:textId="77777777" w:rsidR="00865092" w:rsidRPr="00865092" w:rsidRDefault="00865092" w:rsidP="00865092">
      <w:pPr>
        <w:pStyle w:val="20"/>
        <w:spacing w:line="520" w:lineRule="exact"/>
        <w:ind w:firstLineChars="200" w:firstLine="480"/>
        <w:rPr>
          <w:rFonts w:hAnsi="宋体"/>
          <w:szCs w:val="24"/>
        </w:rPr>
      </w:pPr>
      <w:r w:rsidRPr="00865092">
        <w:rPr>
          <w:rFonts w:hAnsi="宋体" w:hint="eastAsia"/>
          <w:szCs w:val="24"/>
        </w:rPr>
        <w:t>如基金管理人或基金托管人发现基金估值违反基金合同订明的估值方法、程序及相关法律法规的规定或者未能充分维护基金份额持有人利益时，应立即通知对方，共同查明原因，双方协商解决，以约定的方法、程序和相关法律法规的规定进行估值，以维护基金份额持有人的利益。</w:t>
      </w:r>
    </w:p>
    <w:p w14:paraId="54ACCC79" w14:textId="77777777" w:rsidR="00E61384"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根据有关法律法规，基金资产净值计算、基金份额净值计算和基金会计核算的</w:t>
      </w:r>
      <w:r w:rsidRPr="00865092">
        <w:rPr>
          <w:rFonts w:hAnsi="宋体" w:hint="eastAsia"/>
          <w:szCs w:val="24"/>
        </w:rPr>
        <w:lastRenderedPageBreak/>
        <w:t>义务由基金管理人承担。本基金的基金会计责任方由基金管理人担任，因此，就与本基金有关的会计问题，如经相关各方在平等基础上充分讨论后，仍无法达成一致意见的，按照基金管理人对基金净值信息的计算结果按规定对外予以公布。</w:t>
      </w:r>
    </w:p>
    <w:bookmarkEnd w:id="48"/>
    <w:p w14:paraId="042D24B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8.3估值差错处理</w:t>
      </w:r>
    </w:p>
    <w:p w14:paraId="52E52889" w14:textId="77777777" w:rsidR="00E61384" w:rsidRDefault="0093607B">
      <w:pPr>
        <w:pStyle w:val="20"/>
        <w:spacing w:before="0" w:after="0" w:line="520" w:lineRule="exact"/>
        <w:ind w:left="0" w:firstLineChars="200" w:firstLine="480"/>
        <w:rPr>
          <w:rFonts w:hAnsi="宋体"/>
          <w:szCs w:val="24"/>
        </w:rPr>
      </w:pPr>
      <w:bookmarkStart w:id="50" w:name="_Hlk117593582"/>
      <w:r>
        <w:rPr>
          <w:rFonts w:hAnsi="宋体" w:hint="eastAsia"/>
          <w:szCs w:val="24"/>
        </w:rPr>
        <w:t>基金管理人和基金托管人将采取必要、适当、合理的措施确保基金资产估值的准确性、及时性。当基金份额净值小数点后4位以内(含第4位)发生估值错误时，视为基金份额净值错误。</w:t>
      </w:r>
    </w:p>
    <w:p w14:paraId="3C50FD3E" w14:textId="77777777" w:rsidR="00E61384" w:rsidRDefault="0093607B">
      <w:pPr>
        <w:pStyle w:val="20"/>
        <w:spacing w:before="0" w:after="0" w:line="520" w:lineRule="exact"/>
        <w:ind w:left="0" w:firstLineChars="200" w:firstLine="480"/>
        <w:rPr>
          <w:rFonts w:hAnsi="宋体"/>
          <w:szCs w:val="24"/>
        </w:rPr>
      </w:pPr>
      <w:r>
        <w:rPr>
          <w:rFonts w:hAnsi="宋体"/>
          <w:szCs w:val="24"/>
        </w:rPr>
        <w:t>基金合同的当事人应按照以下约定处理：</w:t>
      </w:r>
    </w:p>
    <w:p w14:paraId="0A0FF577" w14:textId="77777777" w:rsidR="00865092" w:rsidRDefault="0093607B" w:rsidP="00865092">
      <w:pPr>
        <w:pStyle w:val="20"/>
        <w:spacing w:before="0" w:after="0" w:line="520" w:lineRule="exact"/>
        <w:ind w:left="0" w:firstLineChars="200" w:firstLine="480"/>
        <w:rPr>
          <w:rFonts w:hAnsi="宋体"/>
          <w:szCs w:val="24"/>
        </w:rPr>
      </w:pPr>
      <w:r>
        <w:rPr>
          <w:rFonts w:hAnsi="宋体" w:hint="eastAsia"/>
          <w:szCs w:val="24"/>
        </w:rPr>
        <w:t>8.3.1</w:t>
      </w:r>
      <w:r>
        <w:rPr>
          <w:rFonts w:hAnsi="宋体"/>
          <w:szCs w:val="24"/>
        </w:rPr>
        <w:t>估值错误类型</w:t>
      </w:r>
    </w:p>
    <w:p w14:paraId="214883B7" w14:textId="77777777" w:rsidR="00865092" w:rsidRP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5F1C0C5" w14:textId="77777777" w:rsidR="00E61384"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上述估值错误的主要类型包括但不限于：资料申报差错、数据传输差错、数据计算差错、系统故障差错、下达指令差错等。</w:t>
      </w:r>
    </w:p>
    <w:p w14:paraId="567D35BC" w14:textId="77777777" w:rsidR="00865092" w:rsidRDefault="0093607B" w:rsidP="00865092">
      <w:pPr>
        <w:pStyle w:val="20"/>
        <w:spacing w:before="0" w:after="0" w:line="520" w:lineRule="exact"/>
        <w:ind w:left="0" w:firstLineChars="200" w:firstLine="480"/>
        <w:rPr>
          <w:rFonts w:hAnsi="宋体"/>
          <w:szCs w:val="24"/>
        </w:rPr>
      </w:pPr>
      <w:r>
        <w:rPr>
          <w:rFonts w:hAnsi="宋体" w:hint="eastAsia"/>
          <w:szCs w:val="24"/>
        </w:rPr>
        <w:t>8.3.2</w:t>
      </w:r>
      <w:r>
        <w:rPr>
          <w:rFonts w:hAnsi="宋体"/>
          <w:szCs w:val="24"/>
        </w:rPr>
        <w:t>估值错误处理原则</w:t>
      </w:r>
    </w:p>
    <w:p w14:paraId="1C8343FE" w14:textId="77777777" w:rsid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2D420D1" w14:textId="77777777" w:rsid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（2）估值错误的责任方对有关当事人的直接损失负责，不对间接损失负责，并且仅对估值错误的有关直接当事人负责，不对第三方负责。</w:t>
      </w:r>
    </w:p>
    <w:p w14:paraId="4EFBDEF2" w14:textId="77777777" w:rsid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（3）因估值错误而获得不当得利的当事人负有及时返还不当得利的义务。但估值错误责任方仍应对估值错误负责。如果由于获得不当得利的当事人</w:t>
      </w:r>
      <w:proofErr w:type="gramStart"/>
      <w:r w:rsidRPr="00865092">
        <w:rPr>
          <w:rFonts w:hAnsi="宋体" w:hint="eastAsia"/>
          <w:szCs w:val="24"/>
        </w:rPr>
        <w:t>不</w:t>
      </w:r>
      <w:proofErr w:type="gramEnd"/>
      <w:r w:rsidRPr="00865092">
        <w:rPr>
          <w:rFonts w:hAnsi="宋体" w:hint="eastAsia"/>
          <w:szCs w:val="24"/>
        </w:rPr>
        <w:t>返还或</w:t>
      </w:r>
      <w:r w:rsidRPr="00865092">
        <w:rPr>
          <w:rFonts w:hAnsi="宋体" w:hint="eastAsia"/>
          <w:szCs w:val="24"/>
        </w:rPr>
        <w:lastRenderedPageBreak/>
        <w:t>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FA4CED8" w14:textId="77777777" w:rsidR="00E61384"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（4）估值错误调整采用尽量恢复至假设未发生估值错误的正确情形的方式。</w:t>
      </w:r>
    </w:p>
    <w:p w14:paraId="60A001A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8.3.3</w:t>
      </w:r>
      <w:r>
        <w:rPr>
          <w:rFonts w:hAnsi="宋体"/>
          <w:szCs w:val="24"/>
        </w:rPr>
        <w:t>估值错误处理程序</w:t>
      </w:r>
    </w:p>
    <w:p w14:paraId="756BF439" w14:textId="77777777" w:rsidR="00865092" w:rsidRPr="00865092" w:rsidRDefault="00865092" w:rsidP="00865092">
      <w:pPr>
        <w:autoSpaceDE w:val="0"/>
        <w:autoSpaceDN w:val="0"/>
        <w:adjustRightInd w:val="0"/>
        <w:spacing w:line="360" w:lineRule="auto"/>
        <w:ind w:firstLineChars="200" w:firstLine="480"/>
        <w:jc w:val="left"/>
        <w:rPr>
          <w:rFonts w:ascii="宋体" w:hAnsi="宋体"/>
          <w:sz w:val="24"/>
          <w:szCs w:val="24"/>
        </w:rPr>
      </w:pPr>
      <w:r w:rsidRPr="00865092">
        <w:rPr>
          <w:rFonts w:ascii="宋体" w:hAnsi="宋体" w:hint="eastAsia"/>
          <w:sz w:val="24"/>
          <w:szCs w:val="24"/>
        </w:rPr>
        <w:t>估值错误被发现后，有关的当事人应当及时进行处理，处理的程序如下：</w:t>
      </w:r>
    </w:p>
    <w:p w14:paraId="49853461" w14:textId="77777777" w:rsidR="00865092" w:rsidRPr="00865092" w:rsidRDefault="00865092" w:rsidP="00865092">
      <w:pPr>
        <w:autoSpaceDE w:val="0"/>
        <w:autoSpaceDN w:val="0"/>
        <w:adjustRightInd w:val="0"/>
        <w:spacing w:line="360" w:lineRule="auto"/>
        <w:ind w:firstLineChars="200" w:firstLine="480"/>
        <w:jc w:val="left"/>
        <w:rPr>
          <w:rFonts w:ascii="宋体" w:hAnsi="宋体"/>
          <w:sz w:val="24"/>
          <w:szCs w:val="24"/>
        </w:rPr>
      </w:pPr>
      <w:r w:rsidRPr="00865092">
        <w:rPr>
          <w:rFonts w:ascii="宋体" w:hAnsi="宋体" w:hint="eastAsia"/>
          <w:sz w:val="24"/>
          <w:szCs w:val="24"/>
        </w:rPr>
        <w:t>（1）查明估值错误发生的原因，列明所有的当事人，并根据估值错误发生的原因确定估值错误的责任方；</w:t>
      </w:r>
    </w:p>
    <w:p w14:paraId="163748E1" w14:textId="77777777" w:rsidR="00865092" w:rsidRPr="00865092" w:rsidRDefault="00865092" w:rsidP="00865092">
      <w:pPr>
        <w:autoSpaceDE w:val="0"/>
        <w:autoSpaceDN w:val="0"/>
        <w:adjustRightInd w:val="0"/>
        <w:spacing w:line="360" w:lineRule="auto"/>
        <w:ind w:firstLineChars="200" w:firstLine="480"/>
        <w:jc w:val="left"/>
        <w:rPr>
          <w:rFonts w:ascii="宋体" w:hAnsi="宋体"/>
          <w:sz w:val="24"/>
          <w:szCs w:val="24"/>
        </w:rPr>
      </w:pPr>
      <w:r w:rsidRPr="00865092">
        <w:rPr>
          <w:rFonts w:ascii="宋体" w:hAnsi="宋体" w:hint="eastAsia"/>
          <w:sz w:val="24"/>
          <w:szCs w:val="24"/>
        </w:rPr>
        <w:t>（2）根据估值错误处理原则或当事人协商的方法对因估值错误造成的损失进行评估；</w:t>
      </w:r>
    </w:p>
    <w:p w14:paraId="61F398D5" w14:textId="77777777" w:rsidR="00865092" w:rsidRPr="00865092" w:rsidRDefault="00865092" w:rsidP="00865092">
      <w:pPr>
        <w:autoSpaceDE w:val="0"/>
        <w:autoSpaceDN w:val="0"/>
        <w:adjustRightInd w:val="0"/>
        <w:spacing w:line="360" w:lineRule="auto"/>
        <w:ind w:firstLineChars="200" w:firstLine="480"/>
        <w:jc w:val="left"/>
        <w:rPr>
          <w:rFonts w:ascii="宋体" w:hAnsi="宋体"/>
          <w:sz w:val="24"/>
          <w:szCs w:val="24"/>
        </w:rPr>
      </w:pPr>
      <w:r w:rsidRPr="00865092">
        <w:rPr>
          <w:rFonts w:ascii="宋体" w:hAnsi="宋体" w:hint="eastAsia"/>
          <w:sz w:val="24"/>
          <w:szCs w:val="24"/>
        </w:rPr>
        <w:t>（3）根据估值错误处理原则或当事人协商的方法由估值错误的责任方进行更正和赔偿损失；</w:t>
      </w:r>
    </w:p>
    <w:p w14:paraId="593B0CF4" w14:textId="77777777" w:rsidR="00E61384" w:rsidRDefault="00865092" w:rsidP="00865092">
      <w:pPr>
        <w:autoSpaceDE w:val="0"/>
        <w:autoSpaceDN w:val="0"/>
        <w:adjustRightInd w:val="0"/>
        <w:spacing w:line="360" w:lineRule="auto"/>
        <w:ind w:firstLineChars="200" w:firstLine="480"/>
        <w:jc w:val="left"/>
        <w:rPr>
          <w:rFonts w:ascii="宋体" w:hAnsi="宋体" w:cs="宋体"/>
          <w:kern w:val="0"/>
          <w:sz w:val="24"/>
          <w:szCs w:val="24"/>
        </w:rPr>
      </w:pPr>
      <w:r w:rsidRPr="00865092">
        <w:rPr>
          <w:rFonts w:ascii="宋体" w:hAnsi="宋体" w:hint="eastAsia"/>
          <w:sz w:val="24"/>
          <w:szCs w:val="24"/>
        </w:rPr>
        <w:t>（4）根据估值错误处理的方法，需要修改基金登记机构交易数据的，由基金登记机构进行更正，并就估值错误的更正向有关当事人进行确认。</w:t>
      </w:r>
    </w:p>
    <w:p w14:paraId="496CC3DB" w14:textId="77777777" w:rsidR="00865092" w:rsidRDefault="0093607B" w:rsidP="00865092">
      <w:pPr>
        <w:pStyle w:val="20"/>
        <w:spacing w:before="0" w:after="0" w:line="520" w:lineRule="exact"/>
        <w:ind w:left="0" w:firstLineChars="200" w:firstLine="480"/>
        <w:rPr>
          <w:rFonts w:hAnsi="宋体"/>
          <w:szCs w:val="24"/>
        </w:rPr>
      </w:pPr>
      <w:r>
        <w:rPr>
          <w:rFonts w:hAnsi="宋体" w:hint="eastAsia"/>
          <w:szCs w:val="24"/>
        </w:rPr>
        <w:t>8.3.4</w:t>
      </w:r>
      <w:r>
        <w:rPr>
          <w:rFonts w:hAnsi="宋体"/>
          <w:szCs w:val="24"/>
        </w:rPr>
        <w:t>基金份额净值估值错误处理的方法如下：</w:t>
      </w:r>
      <w:bookmarkEnd w:id="49"/>
      <w:bookmarkEnd w:id="50"/>
    </w:p>
    <w:p w14:paraId="6CA292E1" w14:textId="77777777" w:rsid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（1）基金份额净值计算出现错误时，基金管理人应当立即予以纠正，通报基金托管人，并采取合理的措施防止损失进一步扩大。</w:t>
      </w:r>
    </w:p>
    <w:p w14:paraId="33E9B847" w14:textId="77777777" w:rsid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（2）错误偏差达到基金份额净值的0.25%时，基金管理人应当通报基金托管人并报中国证监会备案；错误偏差达到基金份额净值的0.5%时，基金管理人应当公告，并报中国证监会备案。</w:t>
      </w:r>
    </w:p>
    <w:p w14:paraId="284F3D0F" w14:textId="77777777" w:rsidR="00865092" w:rsidRPr="00865092"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（3）前述内容如法律法规或监管机关另有规定的，从其规定处理。如果行业另有通行做法，基金管理人和基金托管人应本着平等和保护基金份额持有人利益的原则进行协商。</w:t>
      </w:r>
    </w:p>
    <w:p w14:paraId="02E623F2" w14:textId="77777777" w:rsidR="00E61384" w:rsidRDefault="00865092" w:rsidP="00865092">
      <w:pPr>
        <w:pStyle w:val="20"/>
        <w:spacing w:before="0" w:after="0" w:line="520" w:lineRule="exact"/>
        <w:ind w:left="0" w:firstLineChars="200" w:firstLine="480"/>
        <w:rPr>
          <w:rFonts w:hAnsi="宋体"/>
          <w:szCs w:val="24"/>
        </w:rPr>
      </w:pPr>
      <w:r w:rsidRPr="00865092">
        <w:rPr>
          <w:rFonts w:hAnsi="宋体" w:hint="eastAsia"/>
          <w:szCs w:val="24"/>
        </w:rPr>
        <w:t>基金托管人发现基金份额净值估值出现重大错误或者估值出现重大偏离的，应当提示基金管理人依法履行披露和报告义务。</w:t>
      </w:r>
    </w:p>
    <w:p w14:paraId="51FDB6E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8.4基金账册的建立</w:t>
      </w:r>
    </w:p>
    <w:p w14:paraId="0D5FB54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8.4.1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BB98BE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8.4.2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0839F2F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8.5基金定期报告的编制和复核</w:t>
      </w:r>
    </w:p>
    <w:p w14:paraId="322ACED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8.5.1基金财务报表由基金管理人和基金托管人每</w:t>
      </w:r>
      <w:proofErr w:type="gramStart"/>
      <w:r>
        <w:rPr>
          <w:rFonts w:hAnsi="宋体" w:hint="eastAsia"/>
          <w:szCs w:val="24"/>
        </w:rPr>
        <w:t>月分别独立</w:t>
      </w:r>
      <w:proofErr w:type="gramEnd"/>
      <w:r>
        <w:rPr>
          <w:rFonts w:hAnsi="宋体" w:hint="eastAsia"/>
          <w:szCs w:val="24"/>
        </w:rPr>
        <w:t>编制。月度报表的编制，应于每月终了后5个工作日内完成。</w:t>
      </w:r>
    </w:p>
    <w:p w14:paraId="2F4DD12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8.5.2基金管理人应当在每年结束之日起三个月内，编制完成基金年度报告，将年度报告登载于规定网站上，并将年度报告提示性公告登载在规定报刊上。基金年度报告中的财务会计报告应当经过符合《中华人民共和国证券法》规定的会计师事务所审计。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14:paraId="575E27E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8.5.3《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r>
        <w:rPr>
          <w:rFonts w:hint="eastAsia"/>
          <w:bCs/>
        </w:rPr>
        <w:t>基金终止运作的，基金管理人不再更新基金招募说明书、</w:t>
      </w:r>
      <w:r>
        <w:rPr>
          <w:rFonts w:hAnsi="宋体" w:hint="eastAsia"/>
          <w:szCs w:val="24"/>
        </w:rPr>
        <w:t>基金</w:t>
      </w:r>
      <w:r>
        <w:rPr>
          <w:rFonts w:hAnsi="宋体" w:hint="eastAsia"/>
          <w:szCs w:val="24"/>
        </w:rPr>
        <w:lastRenderedPageBreak/>
        <w:t>产品资料概要</w:t>
      </w:r>
      <w:r>
        <w:rPr>
          <w:rFonts w:hint="eastAsia"/>
          <w:bCs/>
        </w:rPr>
        <w:t>。</w:t>
      </w:r>
    </w:p>
    <w:p w14:paraId="522D951F" w14:textId="77777777" w:rsidR="00E61384" w:rsidRDefault="0093607B">
      <w:pPr>
        <w:pStyle w:val="20"/>
        <w:spacing w:before="0" w:after="0" w:line="520" w:lineRule="exact"/>
        <w:ind w:left="0" w:firstLineChars="200" w:firstLine="480"/>
        <w:rPr>
          <w:rFonts w:hAnsi="宋体"/>
          <w:szCs w:val="24"/>
        </w:rPr>
      </w:pPr>
      <w:bookmarkStart w:id="51" w:name="_DV_C270"/>
      <w:r>
        <w:rPr>
          <w:rFonts w:hAnsi="宋体" w:hint="eastAsia"/>
          <w:szCs w:val="24"/>
        </w:rPr>
        <w:t>8.5.</w:t>
      </w:r>
      <w:r>
        <w:rPr>
          <w:rFonts w:hAnsi="宋体"/>
          <w:szCs w:val="24"/>
        </w:rPr>
        <w:t>4</w:t>
      </w:r>
      <w:r>
        <w:rPr>
          <w:rFonts w:hAnsi="宋体" w:hint="eastAsia"/>
          <w:szCs w:val="24"/>
        </w:rPr>
        <w:t>基金管理人应及时完成报表编制，将有关报表提供基金托管人复核；基金托管人应当在收到报告之日起</w:t>
      </w:r>
      <w:r>
        <w:rPr>
          <w:rFonts w:hAnsi="宋体"/>
          <w:szCs w:val="24"/>
        </w:rPr>
        <w:t>2个工作日内</w:t>
      </w:r>
      <w:r>
        <w:rPr>
          <w:rFonts w:hAnsi="宋体" w:hint="eastAsia"/>
          <w:szCs w:val="24"/>
        </w:rPr>
        <w:t>完成月度报表的复核；在收到报告之日起7个工作日内完成基金季度报告的复核；在收到报告之日起20日内完成基金中期报告的复核；在收到报告之日起</w:t>
      </w:r>
      <w:r>
        <w:rPr>
          <w:rFonts w:hAnsi="宋体"/>
          <w:szCs w:val="24"/>
        </w:rPr>
        <w:t>30日内</w:t>
      </w:r>
      <w:r>
        <w:rPr>
          <w:rFonts w:hAnsi="宋体" w:hint="eastAsia"/>
          <w:szCs w:val="24"/>
        </w:rPr>
        <w:t>完成基金年度报告的</w:t>
      </w:r>
      <w:bookmarkEnd w:id="51"/>
      <w:r>
        <w:rPr>
          <w:rFonts w:hAnsi="宋体" w:hint="eastAsia"/>
          <w:szCs w:val="24"/>
        </w:rPr>
        <w:t>复核。基金托管人在复核过程中，发现双方的报表存在不符时，基金管理人和基金托管人应共同查明原因，进行调整，调整以国家有关规定为准。</w:t>
      </w:r>
    </w:p>
    <w:p w14:paraId="39BE95B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8.5.</w:t>
      </w:r>
      <w:r>
        <w:rPr>
          <w:rFonts w:hAnsi="宋体"/>
          <w:szCs w:val="24"/>
        </w:rPr>
        <w:t>5</w:t>
      </w:r>
      <w:r>
        <w:rPr>
          <w:rFonts w:hAnsi="宋体" w:hint="eastAsia"/>
          <w:szCs w:val="24"/>
        </w:rPr>
        <w:t>核对无误后，基金托管人在基金管理人提供的报告上加盖业务印鉴或者出具加盖托管业务部门公章的复核意见书或进行电子确认，相关各方各自留存一份。</w:t>
      </w:r>
    </w:p>
    <w:p w14:paraId="5F81491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8.5.</w:t>
      </w:r>
      <w:r>
        <w:rPr>
          <w:rFonts w:hAnsi="宋体"/>
          <w:szCs w:val="24"/>
        </w:rPr>
        <w:t>6</w:t>
      </w:r>
      <w:r>
        <w:rPr>
          <w:rFonts w:hAnsi="宋体" w:hint="eastAsia"/>
          <w:szCs w:val="24"/>
        </w:rPr>
        <w:t>基金托管人在对财务会计报告、季度、中期报告或年度报告复核完毕后，需盖章确认或出具相应的复核确认书或进行电子确认，以</w:t>
      </w:r>
      <w:proofErr w:type="gramStart"/>
      <w:r>
        <w:rPr>
          <w:rFonts w:hAnsi="宋体" w:hint="eastAsia"/>
          <w:szCs w:val="24"/>
        </w:rPr>
        <w:t>备有权</w:t>
      </w:r>
      <w:proofErr w:type="gramEnd"/>
      <w:r>
        <w:rPr>
          <w:rFonts w:hAnsi="宋体" w:hint="eastAsia"/>
          <w:szCs w:val="24"/>
        </w:rPr>
        <w:t>机构对相关文件审核时提示。</w:t>
      </w:r>
    </w:p>
    <w:p w14:paraId="7DDDF47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8.6暂停估值的情形</w:t>
      </w:r>
    </w:p>
    <w:p w14:paraId="46F91FEC" w14:textId="77777777" w:rsidR="00E61384" w:rsidRDefault="0093607B">
      <w:pPr>
        <w:pStyle w:val="20"/>
        <w:numPr>
          <w:ilvl w:val="0"/>
          <w:numId w:val="3"/>
        </w:numPr>
        <w:spacing w:before="0" w:after="0" w:line="520" w:lineRule="exact"/>
        <w:rPr>
          <w:rFonts w:hAnsi="宋体"/>
          <w:szCs w:val="24"/>
        </w:rPr>
      </w:pPr>
      <w:bookmarkStart w:id="52" w:name="_Hlk116238307"/>
      <w:r>
        <w:rPr>
          <w:rFonts w:hAnsi="宋体" w:hint="eastAsia"/>
          <w:szCs w:val="24"/>
        </w:rPr>
        <w:t>基金投资所涉及的证券/期货交易市场遇法定节假日或因其他原因暂停营业时；</w:t>
      </w:r>
    </w:p>
    <w:p w14:paraId="5E4A89B5" w14:textId="77777777" w:rsidR="00E61384" w:rsidRDefault="0093607B">
      <w:pPr>
        <w:pStyle w:val="20"/>
        <w:numPr>
          <w:ilvl w:val="0"/>
          <w:numId w:val="3"/>
        </w:numPr>
        <w:spacing w:before="0" w:after="0" w:line="520" w:lineRule="exact"/>
        <w:rPr>
          <w:rFonts w:hAnsi="宋体"/>
          <w:szCs w:val="24"/>
        </w:rPr>
      </w:pPr>
      <w:r>
        <w:rPr>
          <w:rFonts w:hAnsi="宋体" w:hint="eastAsia"/>
          <w:szCs w:val="24"/>
        </w:rPr>
        <w:t>因不可抗力或其它情形致使基金管理人、基金托管人无法准确评估基金资产价值时；</w:t>
      </w:r>
    </w:p>
    <w:p w14:paraId="6C91D0F3" w14:textId="77777777" w:rsidR="00E61384" w:rsidRDefault="0093607B">
      <w:pPr>
        <w:pStyle w:val="20"/>
        <w:numPr>
          <w:ilvl w:val="0"/>
          <w:numId w:val="3"/>
        </w:numPr>
        <w:spacing w:before="0" w:after="0" w:line="520" w:lineRule="exact"/>
        <w:rPr>
          <w:rFonts w:hAnsi="宋体"/>
          <w:szCs w:val="24"/>
        </w:rPr>
      </w:pPr>
      <w:r>
        <w:rPr>
          <w:rFonts w:hAnsi="宋体" w:hint="eastAsia"/>
          <w:szCs w:val="24"/>
        </w:rPr>
        <w:t>当前一估值日基金资产净值50%以上的资产出现无可参考的活跃市场价格且采用估值技术</w:t>
      </w:r>
      <w:proofErr w:type="gramStart"/>
      <w:r>
        <w:rPr>
          <w:rFonts w:hAnsi="宋体" w:hint="eastAsia"/>
          <w:szCs w:val="24"/>
        </w:rPr>
        <w:t>仍导致</w:t>
      </w:r>
      <w:proofErr w:type="gramEnd"/>
      <w:r>
        <w:rPr>
          <w:rFonts w:hAnsi="宋体" w:hint="eastAsia"/>
          <w:szCs w:val="24"/>
        </w:rPr>
        <w:t>公允价值存在重大不确定性时，经与基金托管人协商确认后，基金管理人应当暂停估值；</w:t>
      </w:r>
    </w:p>
    <w:p w14:paraId="3109DF35" w14:textId="77777777" w:rsidR="00E61384" w:rsidRDefault="0093607B">
      <w:pPr>
        <w:pStyle w:val="20"/>
        <w:numPr>
          <w:ilvl w:val="0"/>
          <w:numId w:val="3"/>
        </w:numPr>
        <w:spacing w:before="0" w:after="0" w:line="520" w:lineRule="exact"/>
        <w:rPr>
          <w:rFonts w:hAnsi="宋体"/>
          <w:szCs w:val="24"/>
        </w:rPr>
      </w:pPr>
      <w:r>
        <w:rPr>
          <w:rFonts w:hAnsi="宋体" w:hint="eastAsia"/>
          <w:szCs w:val="24"/>
        </w:rPr>
        <w:t>法律法规、中国证监会和基金合同认定的其它情形。</w:t>
      </w:r>
    </w:p>
    <w:p w14:paraId="62C4C181" w14:textId="77777777" w:rsidR="00E61384" w:rsidRDefault="00E61384">
      <w:pPr>
        <w:pStyle w:val="20"/>
        <w:spacing w:before="0" w:after="0" w:line="520" w:lineRule="exact"/>
        <w:ind w:left="0" w:firstLineChars="200" w:firstLine="480"/>
        <w:rPr>
          <w:rFonts w:hAnsi="宋体"/>
          <w:szCs w:val="24"/>
        </w:rPr>
      </w:pPr>
    </w:p>
    <w:p w14:paraId="3140561E" w14:textId="77777777" w:rsidR="00E61384" w:rsidRDefault="0093607B">
      <w:pPr>
        <w:pStyle w:val="1"/>
        <w:spacing w:line="520" w:lineRule="exact"/>
        <w:ind w:firstLineChars="200" w:firstLine="482"/>
        <w:rPr>
          <w:bCs/>
          <w:color w:val="auto"/>
          <w:szCs w:val="24"/>
        </w:rPr>
      </w:pPr>
      <w:bookmarkStart w:id="53" w:name="_Toc296551345"/>
      <w:bookmarkStart w:id="54" w:name="_Toc142055713"/>
      <w:bookmarkStart w:id="55" w:name="_Toc4870332"/>
      <w:bookmarkStart w:id="56" w:name="_Toc30182"/>
      <w:bookmarkEnd w:id="52"/>
      <w:r>
        <w:rPr>
          <w:rFonts w:hint="eastAsia"/>
          <w:bCs/>
          <w:color w:val="auto"/>
          <w:szCs w:val="24"/>
        </w:rPr>
        <w:t>第九条 基金收益分配</w:t>
      </w:r>
      <w:bookmarkEnd w:id="53"/>
      <w:bookmarkEnd w:id="54"/>
      <w:bookmarkEnd w:id="55"/>
      <w:bookmarkEnd w:id="56"/>
    </w:p>
    <w:p w14:paraId="0C349817" w14:textId="77777777" w:rsidR="008614F3" w:rsidRDefault="0093607B" w:rsidP="008614F3">
      <w:pPr>
        <w:pStyle w:val="20"/>
        <w:spacing w:before="0" w:after="0" w:line="520" w:lineRule="exact"/>
        <w:ind w:left="0" w:firstLineChars="200" w:firstLine="480"/>
        <w:rPr>
          <w:rFonts w:hAnsi="宋体"/>
          <w:szCs w:val="24"/>
        </w:rPr>
      </w:pPr>
      <w:bookmarkStart w:id="57" w:name="_Hlk204885649"/>
      <w:r>
        <w:rPr>
          <w:rFonts w:hAnsi="宋体" w:hint="eastAsia"/>
          <w:szCs w:val="24"/>
        </w:rPr>
        <w:t>9.1 基金收益分配原则</w:t>
      </w:r>
    </w:p>
    <w:p w14:paraId="58BB6001" w14:textId="77777777" w:rsidR="008614F3" w:rsidRDefault="008614F3" w:rsidP="008614F3">
      <w:pPr>
        <w:pStyle w:val="20"/>
        <w:spacing w:before="0" w:after="0" w:line="520" w:lineRule="exact"/>
        <w:ind w:left="0" w:firstLineChars="200" w:firstLine="480"/>
        <w:rPr>
          <w:rFonts w:hAnsi="宋体"/>
          <w:szCs w:val="24"/>
        </w:rPr>
      </w:pPr>
      <w:r w:rsidRPr="008614F3">
        <w:rPr>
          <w:rFonts w:hAnsi="宋体" w:hint="eastAsia"/>
          <w:szCs w:val="24"/>
        </w:rPr>
        <w:t>1、在符合有关基金分红条件的前提下，本基金管理人可以根据实际情况进行收益分配，具体分配方案以公告为准。若《基金合同》生效不满3个月可不进行收</w:t>
      </w:r>
      <w:r w:rsidRPr="008614F3">
        <w:rPr>
          <w:rFonts w:hAnsi="宋体" w:hint="eastAsia"/>
          <w:szCs w:val="24"/>
        </w:rPr>
        <w:lastRenderedPageBreak/>
        <w:t>益分配；</w:t>
      </w:r>
    </w:p>
    <w:p w14:paraId="275EE24D" w14:textId="77777777" w:rsidR="008614F3" w:rsidRDefault="008614F3" w:rsidP="008614F3">
      <w:pPr>
        <w:pStyle w:val="20"/>
        <w:spacing w:before="0" w:after="0" w:line="520" w:lineRule="exact"/>
        <w:ind w:left="0" w:firstLineChars="200" w:firstLine="480"/>
        <w:rPr>
          <w:rFonts w:hAnsi="宋体"/>
          <w:szCs w:val="24"/>
        </w:rPr>
      </w:pPr>
      <w:r w:rsidRPr="008614F3">
        <w:rPr>
          <w:rFonts w:hAnsi="宋体" w:hint="eastAsia"/>
          <w:szCs w:val="24"/>
        </w:rPr>
        <w:t>2、本基金收益分配采取现金分红方式；</w:t>
      </w:r>
    </w:p>
    <w:p w14:paraId="7E1C78F0" w14:textId="77777777" w:rsidR="008614F3" w:rsidRDefault="008614F3" w:rsidP="008614F3">
      <w:pPr>
        <w:pStyle w:val="20"/>
        <w:spacing w:before="0" w:after="0" w:line="520" w:lineRule="exact"/>
        <w:ind w:left="0" w:firstLineChars="200" w:firstLine="480"/>
        <w:rPr>
          <w:rFonts w:hAnsi="宋体"/>
          <w:szCs w:val="24"/>
        </w:rPr>
      </w:pPr>
      <w:r w:rsidRPr="008614F3">
        <w:rPr>
          <w:rFonts w:hAnsi="宋体" w:hint="eastAsia"/>
          <w:szCs w:val="24"/>
        </w:rPr>
        <w:t>3、本基金以使收益分配后基金份额净值增长率尽可能贴近标的指数同期增长率为原则进行收益分配。基于本基金的性质和特点，本基金收益分配不须以弥补浮动亏损为前提，收益分配后有可能使除息后的基金份额净值低于面值；</w:t>
      </w:r>
    </w:p>
    <w:p w14:paraId="25588EA4" w14:textId="77777777" w:rsidR="008614F3" w:rsidRDefault="008614F3" w:rsidP="008614F3">
      <w:pPr>
        <w:pStyle w:val="20"/>
        <w:spacing w:before="0" w:after="0" w:line="520" w:lineRule="exact"/>
        <w:ind w:left="0" w:firstLineChars="200" w:firstLine="480"/>
        <w:rPr>
          <w:rFonts w:hAnsi="宋体"/>
          <w:szCs w:val="24"/>
        </w:rPr>
      </w:pPr>
      <w:r w:rsidRPr="008614F3">
        <w:rPr>
          <w:rFonts w:hAnsi="宋体" w:hint="eastAsia"/>
          <w:szCs w:val="24"/>
        </w:rPr>
        <w:t>4、每一基金份额享有同等分配权；</w:t>
      </w:r>
    </w:p>
    <w:p w14:paraId="5165025E" w14:textId="77777777" w:rsidR="008614F3" w:rsidRPr="008614F3" w:rsidRDefault="008614F3" w:rsidP="008614F3">
      <w:pPr>
        <w:pStyle w:val="20"/>
        <w:spacing w:before="0" w:after="0" w:line="520" w:lineRule="exact"/>
        <w:ind w:left="0" w:firstLineChars="200" w:firstLine="480"/>
        <w:rPr>
          <w:rFonts w:hAnsi="宋体"/>
          <w:szCs w:val="24"/>
        </w:rPr>
      </w:pPr>
      <w:r w:rsidRPr="008614F3">
        <w:rPr>
          <w:rFonts w:hAnsi="宋体" w:hint="eastAsia"/>
          <w:szCs w:val="24"/>
        </w:rPr>
        <w:t>5、法律法规或监管机关、登记机构、深圳证券交易所另有规定的，从其规定。</w:t>
      </w:r>
    </w:p>
    <w:p w14:paraId="2B18B35B" w14:textId="77777777" w:rsidR="00E61384" w:rsidRDefault="008614F3" w:rsidP="008614F3">
      <w:pPr>
        <w:pStyle w:val="20"/>
        <w:spacing w:before="0" w:after="0" w:line="520" w:lineRule="exact"/>
        <w:ind w:left="0" w:firstLineChars="200" w:firstLine="480"/>
        <w:rPr>
          <w:rFonts w:hAnsi="宋体"/>
          <w:szCs w:val="24"/>
        </w:rPr>
      </w:pPr>
      <w:r w:rsidRPr="008614F3">
        <w:rPr>
          <w:rFonts w:hAnsi="宋体" w:hint="eastAsia"/>
          <w:szCs w:val="24"/>
        </w:rPr>
        <w:t>在不违反法律法规且对基金份额持有人利益无实质性不利影响的前提下，基金管理人履行适当程序后，可酌情调整以上基金收益分配原则和支付方式，并于变更实施日前按照《信息披露办法》的规定在规定媒介上公告。</w:t>
      </w:r>
    </w:p>
    <w:p w14:paraId="6DA5706A" w14:textId="77777777" w:rsidR="00E61384" w:rsidRDefault="008614F3">
      <w:pPr>
        <w:pStyle w:val="20"/>
        <w:spacing w:before="0" w:after="0" w:line="520" w:lineRule="exact"/>
        <w:ind w:left="0" w:firstLineChars="200" w:firstLine="480"/>
        <w:rPr>
          <w:rFonts w:hAnsi="宋体"/>
          <w:szCs w:val="24"/>
        </w:rPr>
      </w:pPr>
      <w:r>
        <w:rPr>
          <w:rFonts w:hAnsi="宋体" w:hint="eastAsia"/>
          <w:szCs w:val="24"/>
        </w:rPr>
        <w:t>9.</w:t>
      </w:r>
      <w:r>
        <w:rPr>
          <w:rFonts w:hAnsi="宋体"/>
          <w:szCs w:val="24"/>
        </w:rPr>
        <w:t>2</w:t>
      </w:r>
      <w:r w:rsidR="0093607B">
        <w:rPr>
          <w:rFonts w:hAnsi="宋体" w:hint="eastAsia"/>
          <w:szCs w:val="24"/>
        </w:rPr>
        <w:t xml:space="preserve"> 收益分配方案</w:t>
      </w:r>
    </w:p>
    <w:p w14:paraId="7ED681D9" w14:textId="77777777" w:rsidR="00E61384" w:rsidRDefault="008614F3">
      <w:pPr>
        <w:pStyle w:val="20"/>
        <w:spacing w:before="0" w:after="0" w:line="520" w:lineRule="exact"/>
        <w:ind w:left="0" w:firstLineChars="200" w:firstLine="480"/>
        <w:rPr>
          <w:rFonts w:hAnsi="宋体"/>
          <w:szCs w:val="24"/>
        </w:rPr>
      </w:pPr>
      <w:r w:rsidRPr="008614F3">
        <w:rPr>
          <w:rFonts w:hAnsi="宋体" w:hint="eastAsia"/>
          <w:szCs w:val="24"/>
        </w:rPr>
        <w:t>基金收益分配方案中应载明基金收益分配对象、分配时间、分配数额及比例、分配方式等内容。</w:t>
      </w:r>
    </w:p>
    <w:p w14:paraId="06405F0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9.4 收益分配方案的确定、公告与实施</w:t>
      </w:r>
    </w:p>
    <w:p w14:paraId="6E8ACA3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本基金收益分配方案由基金管理人拟定，并由基金托管人复核，依照《信息披露办法》的有关规定在规定媒介公告。</w:t>
      </w:r>
    </w:p>
    <w:p w14:paraId="5D7B7F2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9.5 基金收益分配中发生的费用</w:t>
      </w:r>
    </w:p>
    <w:p w14:paraId="65CB0FB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基金收益分配时所发生的银行转账或其他手续费用由投资者自行承担。</w:t>
      </w:r>
    </w:p>
    <w:bookmarkEnd w:id="57"/>
    <w:p w14:paraId="3A26603B" w14:textId="77777777" w:rsidR="00E61384" w:rsidRDefault="00E61384">
      <w:pPr>
        <w:pStyle w:val="20"/>
        <w:spacing w:before="0" w:after="0" w:line="520" w:lineRule="exact"/>
        <w:ind w:left="0" w:firstLineChars="200" w:firstLine="480"/>
        <w:rPr>
          <w:rFonts w:hAnsi="宋体"/>
          <w:szCs w:val="24"/>
        </w:rPr>
      </w:pPr>
    </w:p>
    <w:p w14:paraId="6D468A3A" w14:textId="77777777" w:rsidR="00E61384" w:rsidRDefault="0093607B">
      <w:pPr>
        <w:pStyle w:val="1"/>
        <w:spacing w:line="520" w:lineRule="exact"/>
        <w:ind w:firstLineChars="200" w:firstLine="482"/>
        <w:rPr>
          <w:bCs/>
          <w:color w:val="auto"/>
          <w:szCs w:val="24"/>
        </w:rPr>
      </w:pPr>
      <w:bookmarkStart w:id="58" w:name="_Toc972"/>
      <w:bookmarkStart w:id="59" w:name="_Toc4870333"/>
      <w:bookmarkStart w:id="60" w:name="_Toc296551346"/>
      <w:bookmarkStart w:id="61" w:name="_Toc142055714"/>
      <w:r>
        <w:rPr>
          <w:rFonts w:hint="eastAsia"/>
          <w:bCs/>
          <w:color w:val="auto"/>
          <w:szCs w:val="24"/>
        </w:rPr>
        <w:t>第十条 信息披露</w:t>
      </w:r>
      <w:bookmarkEnd w:id="58"/>
      <w:bookmarkEnd w:id="59"/>
      <w:bookmarkEnd w:id="60"/>
      <w:bookmarkEnd w:id="61"/>
    </w:p>
    <w:p w14:paraId="4631C84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10.1保密义务</w:t>
      </w:r>
    </w:p>
    <w:p w14:paraId="7EDC691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10.1.1除按照《基金法》、《信息披露办法》、《流动性</w:t>
      </w:r>
      <w:r>
        <w:rPr>
          <w:rFonts w:hAnsi="宋体"/>
          <w:szCs w:val="24"/>
        </w:rPr>
        <w:t>风险管理规定</w:t>
      </w:r>
      <w:r>
        <w:rPr>
          <w:rFonts w:hAnsi="宋体" w:hint="eastAsia"/>
          <w:szCs w:val="24"/>
        </w:rPr>
        <w:t>》、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w:t>
      </w:r>
      <w:r>
        <w:rPr>
          <w:rFonts w:hAnsi="宋体" w:hint="eastAsia"/>
          <w:szCs w:val="24"/>
        </w:rPr>
        <w:lastRenderedPageBreak/>
        <w:t>金托管人违反保密义务：</w:t>
      </w:r>
    </w:p>
    <w:p w14:paraId="68B94EE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（1）非因基金管理人和基金托管人的原因导致保密信息被披露、泄露或公开；</w:t>
      </w:r>
    </w:p>
    <w:p w14:paraId="2814FE5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（2）基金管理人和基金托管人为遵守和服从法院判决或裁定、仲裁裁决或中国证监会等监管机构的命令、决定所做出的信息披露或公开。</w:t>
      </w:r>
    </w:p>
    <w:p w14:paraId="486D095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10.2基金管理人和基金托管人在信息披露中的职责和信息披露程序</w:t>
      </w:r>
    </w:p>
    <w:p w14:paraId="1A0C5D5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10.2.1基金管理人和基金托管人应根据相关法律法规、基金合同的规定各自承担相应的信息披露职责。基金管理人和基金托管人负有积极配合、互相督促、彼此监督、保证其履行按照法定方式和时限披露的义务。</w:t>
      </w:r>
    </w:p>
    <w:p w14:paraId="6765D3C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10.2.2本基金信息披露的文件主要包括基金招募说明书、基金产品资料概要、基金合同、托管协议、基金份额发售公告、基金合同生效公告、基金净值信息、</w:t>
      </w:r>
      <w:r>
        <w:rPr>
          <w:rFonts w:hAnsi="宋体" w:hint="eastAsia"/>
        </w:rPr>
        <w:t>基金份额折算日和折算结果公告、基金份额上市交易公告书、申购赎回清单</w:t>
      </w:r>
      <w:r>
        <w:rPr>
          <w:rFonts w:hAnsi="宋体" w:hint="eastAsia"/>
          <w:szCs w:val="24"/>
        </w:rPr>
        <w:t>、基金定期报告（包括基金年度报告、基金中期报告和基金季度报告（含资产组合季度报告））、临时报告、澄清公告、清算报告、基金份额持有人大会决议、投资资产支持证券、国债期货、信用衍生品的信息披露及</w:t>
      </w:r>
      <w:r>
        <w:rPr>
          <w:rFonts w:hint="eastAsia"/>
          <w:bCs/>
        </w:rPr>
        <w:t>中国证监会规定的其他信息</w:t>
      </w:r>
      <w:r>
        <w:rPr>
          <w:rFonts w:hAnsi="宋体" w:hint="eastAsia"/>
          <w:szCs w:val="24"/>
        </w:rPr>
        <w:t>，由基金管理人和基金托管人按照有关法律法规的规定予以公布。</w:t>
      </w:r>
    </w:p>
    <w:p w14:paraId="487A7F3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10.2.3</w:t>
      </w:r>
      <w:bookmarkStart w:id="62" w:name="_Hlk116238786"/>
      <w:r>
        <w:rPr>
          <w:rFonts w:hAnsi="宋体" w:hint="eastAsia"/>
          <w:szCs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相关基金信息进行复核、审查，并向基金管理人进行书面或电子确认。</w:t>
      </w:r>
    </w:p>
    <w:bookmarkEnd w:id="62"/>
    <w:p w14:paraId="1E6E44F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10.2.4基金年度</w:t>
      </w:r>
      <w:r>
        <w:rPr>
          <w:rFonts w:hAnsi="宋体"/>
          <w:szCs w:val="24"/>
        </w:rPr>
        <w:t>报</w:t>
      </w:r>
      <w:r>
        <w:rPr>
          <w:rFonts w:hAnsi="宋体" w:hint="eastAsia"/>
          <w:szCs w:val="24"/>
        </w:rPr>
        <w:t>告中的财务会计报告部分，</w:t>
      </w:r>
      <w:proofErr w:type="gramStart"/>
      <w:r>
        <w:rPr>
          <w:rFonts w:hAnsi="宋体" w:hint="eastAsia"/>
          <w:szCs w:val="24"/>
        </w:rPr>
        <w:t>经符合</w:t>
      </w:r>
      <w:proofErr w:type="gramEnd"/>
      <w:r>
        <w:rPr>
          <w:rFonts w:hAnsi="宋体" w:hint="eastAsia"/>
          <w:szCs w:val="24"/>
        </w:rPr>
        <w:t>《中华人民共和国证券法》规定的会计师事务所审计后，方可披露。</w:t>
      </w:r>
    </w:p>
    <w:p w14:paraId="0759244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10.2.5基金管理人应当在中国证监会规定的时间内，将应予披露的基金信息通过基金管理人网站和中国证监会规定媒介披露。根据法律法规应由基金托管人公开披露的信息，基金托管人将通过中国证监会规定媒介公开披露。</w:t>
      </w:r>
    </w:p>
    <w:p w14:paraId="01D1A27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10.2.6</w:t>
      </w:r>
      <w:r>
        <w:rPr>
          <w:rFonts w:hint="eastAsia"/>
          <w:bCs/>
        </w:rPr>
        <w:t>依法必须披露的信息发布后</w:t>
      </w:r>
      <w:r>
        <w:rPr>
          <w:rFonts w:hAnsi="宋体" w:hint="eastAsia"/>
          <w:szCs w:val="24"/>
        </w:rPr>
        <w:t>，基金管理人、基金托管人应当按照相关法律法规规定将信息置备于各自住所</w:t>
      </w:r>
      <w:r w:rsidR="00CE1CA2" w:rsidRPr="00CE1CA2">
        <w:rPr>
          <w:rFonts w:hAnsi="宋体" w:hint="eastAsia"/>
          <w:szCs w:val="24"/>
        </w:rPr>
        <w:t>和深圳证券交易所</w:t>
      </w:r>
      <w:r>
        <w:rPr>
          <w:rFonts w:hAnsi="宋体" w:hint="eastAsia"/>
          <w:szCs w:val="24"/>
        </w:rPr>
        <w:t>，供社会公众查阅、复制。</w:t>
      </w:r>
      <w:r>
        <w:rPr>
          <w:rFonts w:hAnsi="宋体" w:hint="eastAsia"/>
          <w:szCs w:val="24"/>
        </w:rPr>
        <w:lastRenderedPageBreak/>
        <w:t>投资者在支付工本费后可在合理时间获得上述文件的复制件或复印件。基金管理人和基金托管人应保证文本的内容与所公告的内容完全一致。</w:t>
      </w:r>
    </w:p>
    <w:p w14:paraId="6253886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10.3暂停或延迟信息披露的情形</w:t>
      </w:r>
    </w:p>
    <w:p w14:paraId="39A59079" w14:textId="77777777" w:rsidR="00E61384" w:rsidRDefault="0093607B">
      <w:pPr>
        <w:pStyle w:val="20"/>
        <w:spacing w:before="0" w:after="0" w:line="520" w:lineRule="exact"/>
        <w:rPr>
          <w:rFonts w:hAnsi="宋体"/>
          <w:szCs w:val="24"/>
        </w:rPr>
      </w:pPr>
      <w:r>
        <w:rPr>
          <w:rFonts w:hAnsi="宋体" w:hint="eastAsia"/>
          <w:szCs w:val="24"/>
        </w:rPr>
        <w:t>（1）不可抗力；</w:t>
      </w:r>
    </w:p>
    <w:p w14:paraId="1FA43864" w14:textId="77777777" w:rsidR="00E61384" w:rsidRDefault="0093607B">
      <w:pPr>
        <w:pStyle w:val="20"/>
        <w:spacing w:before="0" w:after="0" w:line="520" w:lineRule="exact"/>
        <w:rPr>
          <w:rFonts w:hAnsi="宋体"/>
          <w:szCs w:val="24"/>
        </w:rPr>
      </w:pPr>
      <w:r>
        <w:rPr>
          <w:rFonts w:hAnsi="宋体" w:hint="eastAsia"/>
          <w:szCs w:val="24"/>
        </w:rPr>
        <w:t>（2）发生基金合同约定的暂停估值的情形；</w:t>
      </w:r>
    </w:p>
    <w:p w14:paraId="7A142446" w14:textId="77777777" w:rsidR="00E61384" w:rsidRDefault="0093607B">
      <w:pPr>
        <w:pStyle w:val="20"/>
        <w:spacing w:before="0" w:after="0" w:line="520" w:lineRule="exact"/>
        <w:rPr>
          <w:rFonts w:hAnsi="宋体"/>
          <w:szCs w:val="24"/>
        </w:rPr>
      </w:pPr>
      <w:r>
        <w:rPr>
          <w:rFonts w:hAnsi="宋体" w:hint="eastAsia"/>
          <w:szCs w:val="24"/>
        </w:rPr>
        <w:t>（3）法律法规、中国证监会或《基金合同》认定的其他情形。</w:t>
      </w:r>
    </w:p>
    <w:p w14:paraId="71C08A5C" w14:textId="77777777" w:rsidR="00E61384" w:rsidRDefault="0093607B">
      <w:pPr>
        <w:pStyle w:val="20"/>
        <w:spacing w:before="0" w:after="0" w:line="520" w:lineRule="exact"/>
        <w:rPr>
          <w:rFonts w:hAnsi="宋体"/>
          <w:szCs w:val="24"/>
        </w:rPr>
      </w:pPr>
      <w:r>
        <w:rPr>
          <w:rFonts w:hAnsi="宋体" w:hint="eastAsia"/>
          <w:szCs w:val="24"/>
        </w:rPr>
        <w:t>10.4基金托管人报告</w:t>
      </w:r>
    </w:p>
    <w:p w14:paraId="0288F23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基金托管人应按《基金法》、《运作办法》、《信息披露办法》和其他有关法律法规的规定于每个上半年度结束后两个</w:t>
      </w:r>
      <w:r>
        <w:rPr>
          <w:rFonts w:hAnsi="宋体"/>
          <w:szCs w:val="24"/>
        </w:rPr>
        <w:t>月</w:t>
      </w:r>
      <w:r>
        <w:rPr>
          <w:rFonts w:hAnsi="宋体" w:hint="eastAsia"/>
          <w:szCs w:val="24"/>
        </w:rPr>
        <w:t>内、每个会计年度结束后三个</w:t>
      </w:r>
      <w:r>
        <w:rPr>
          <w:rFonts w:hAnsi="宋体"/>
          <w:szCs w:val="24"/>
        </w:rPr>
        <w:t>月</w:t>
      </w:r>
      <w:proofErr w:type="gramStart"/>
      <w:r>
        <w:rPr>
          <w:rFonts w:hAnsi="宋体" w:hint="eastAsia"/>
          <w:szCs w:val="24"/>
        </w:rPr>
        <w:t>内在基金</w:t>
      </w:r>
      <w:proofErr w:type="gramEnd"/>
      <w:r>
        <w:rPr>
          <w:rFonts w:hAnsi="宋体" w:hint="eastAsia"/>
          <w:szCs w:val="24"/>
        </w:rPr>
        <w:t>中期报告及年度报告中分别出具基金托管人报告。</w:t>
      </w:r>
    </w:p>
    <w:p w14:paraId="5AC11F7D" w14:textId="77777777" w:rsidR="00E61384" w:rsidRDefault="00E61384">
      <w:pPr>
        <w:pStyle w:val="20"/>
        <w:spacing w:before="0" w:after="0" w:line="520" w:lineRule="exact"/>
        <w:ind w:left="0" w:firstLineChars="200" w:firstLine="480"/>
        <w:rPr>
          <w:rFonts w:hAnsi="宋体"/>
          <w:szCs w:val="24"/>
        </w:rPr>
      </w:pPr>
    </w:p>
    <w:p w14:paraId="3DE1F3C0" w14:textId="77777777" w:rsidR="00E61384" w:rsidRDefault="0093607B">
      <w:pPr>
        <w:pStyle w:val="1"/>
        <w:spacing w:line="520" w:lineRule="exact"/>
        <w:ind w:firstLineChars="200" w:firstLine="482"/>
        <w:rPr>
          <w:bCs/>
          <w:color w:val="auto"/>
          <w:szCs w:val="24"/>
        </w:rPr>
      </w:pPr>
      <w:bookmarkStart w:id="63" w:name="_Toc296551347"/>
      <w:bookmarkStart w:id="64" w:name="_Toc11222"/>
      <w:bookmarkStart w:id="65" w:name="_Toc142055715"/>
      <w:bookmarkStart w:id="66" w:name="_Toc4870334"/>
      <w:r>
        <w:rPr>
          <w:rFonts w:hint="eastAsia"/>
          <w:bCs/>
          <w:color w:val="auto"/>
          <w:szCs w:val="24"/>
        </w:rPr>
        <w:t>第十一条 基金费用</w:t>
      </w:r>
      <w:bookmarkEnd w:id="63"/>
      <w:bookmarkEnd w:id="64"/>
      <w:bookmarkEnd w:id="65"/>
      <w:bookmarkEnd w:id="66"/>
    </w:p>
    <w:p w14:paraId="2050E877" w14:textId="77777777" w:rsidR="00E61384" w:rsidRDefault="0093607B">
      <w:pPr>
        <w:pStyle w:val="20"/>
        <w:spacing w:before="0" w:after="0" w:line="520" w:lineRule="exact"/>
        <w:ind w:left="0" w:firstLineChars="200" w:firstLine="480"/>
        <w:rPr>
          <w:rFonts w:hAnsi="宋体"/>
          <w:szCs w:val="24"/>
        </w:rPr>
      </w:pPr>
      <w:bookmarkStart w:id="67" w:name="_Hlk116238979"/>
      <w:r>
        <w:rPr>
          <w:rFonts w:hAnsi="宋体" w:hint="eastAsia"/>
          <w:szCs w:val="24"/>
        </w:rPr>
        <w:t>11.1基金管理费的计提比例和计提方法</w:t>
      </w:r>
    </w:p>
    <w:p w14:paraId="5AF2DD4B" w14:textId="77777777" w:rsidR="00E61384" w:rsidRDefault="0093607B">
      <w:pPr>
        <w:pStyle w:val="20"/>
        <w:spacing w:line="520" w:lineRule="exact"/>
        <w:ind w:firstLineChars="200" w:firstLine="480"/>
        <w:rPr>
          <w:rFonts w:hAnsi="宋体"/>
          <w:szCs w:val="24"/>
        </w:rPr>
      </w:pPr>
      <w:r>
        <w:rPr>
          <w:rFonts w:hAnsi="宋体" w:hint="eastAsia"/>
          <w:szCs w:val="24"/>
        </w:rPr>
        <w:t>本基金的管理费按前一日基金资产净值的0.15%年费率计提。管理费的计算方法如下：</w:t>
      </w:r>
    </w:p>
    <w:p w14:paraId="32206BB3" w14:textId="77777777" w:rsidR="00E61384" w:rsidRDefault="0093607B">
      <w:pPr>
        <w:pStyle w:val="20"/>
        <w:spacing w:line="520" w:lineRule="exact"/>
        <w:ind w:firstLineChars="200" w:firstLine="480"/>
        <w:rPr>
          <w:rFonts w:hAnsi="宋体"/>
          <w:szCs w:val="24"/>
        </w:rPr>
      </w:pPr>
      <w:r>
        <w:rPr>
          <w:rFonts w:hAnsi="宋体" w:hint="eastAsia"/>
          <w:szCs w:val="24"/>
        </w:rPr>
        <w:t>H＝E×0.15%÷当年天数</w:t>
      </w:r>
    </w:p>
    <w:p w14:paraId="20D0899F" w14:textId="77777777" w:rsidR="00E61384" w:rsidRDefault="0093607B">
      <w:pPr>
        <w:pStyle w:val="20"/>
        <w:spacing w:line="520" w:lineRule="exact"/>
        <w:ind w:firstLineChars="200" w:firstLine="480"/>
        <w:rPr>
          <w:rFonts w:hAnsi="宋体"/>
          <w:szCs w:val="24"/>
        </w:rPr>
      </w:pPr>
      <w:r>
        <w:rPr>
          <w:rFonts w:hAnsi="宋体" w:hint="eastAsia"/>
          <w:szCs w:val="24"/>
        </w:rPr>
        <w:t>H为每日应计提的基金管理费</w:t>
      </w:r>
    </w:p>
    <w:p w14:paraId="7B3C5932" w14:textId="77777777" w:rsidR="00E61384" w:rsidRDefault="0093607B">
      <w:pPr>
        <w:pStyle w:val="20"/>
        <w:spacing w:line="520" w:lineRule="exact"/>
        <w:ind w:firstLineChars="200" w:firstLine="480"/>
        <w:rPr>
          <w:rFonts w:hAnsi="宋体"/>
          <w:szCs w:val="24"/>
        </w:rPr>
      </w:pPr>
      <w:r>
        <w:rPr>
          <w:rFonts w:hAnsi="宋体" w:hint="eastAsia"/>
          <w:szCs w:val="24"/>
        </w:rPr>
        <w:t>E为前一日的基金资产净值</w:t>
      </w:r>
    </w:p>
    <w:p w14:paraId="5536DB75" w14:textId="77777777" w:rsidR="00E61384" w:rsidRDefault="0093607B">
      <w:pPr>
        <w:pStyle w:val="20"/>
        <w:spacing w:line="520" w:lineRule="exact"/>
        <w:ind w:firstLineChars="200" w:firstLine="480"/>
        <w:rPr>
          <w:rFonts w:hAnsi="宋体"/>
          <w:szCs w:val="24"/>
        </w:rPr>
      </w:pPr>
      <w:r>
        <w:rPr>
          <w:rFonts w:hAnsi="宋体" w:hint="eastAsia"/>
          <w:szCs w:val="24"/>
        </w:rPr>
        <w:t>基金管理费每日计算，逐日累计至每月月末，按月支付，由基金托管人根据与基金管理人核对一致的财务数据，自动在月初5</w:t>
      </w:r>
      <w:proofErr w:type="gramStart"/>
      <w:r>
        <w:rPr>
          <w:rFonts w:hAnsi="宋体" w:hint="eastAsia"/>
          <w:szCs w:val="24"/>
        </w:rPr>
        <w:t>个</w:t>
      </w:r>
      <w:proofErr w:type="gramEnd"/>
      <w:r>
        <w:rPr>
          <w:rFonts w:hAnsi="宋体" w:hint="eastAsia"/>
          <w:szCs w:val="24"/>
        </w:rPr>
        <w:t>工作日内、按照指定的账户路径进行资金支付，基金管理人无需再出具资金划拨指令。若遇法定节假日、公休日等，支付日期顺延。费用自动扣划后，基金管理人应进行核对，如发现数据不符，及时联系基金托管人协商解决。</w:t>
      </w:r>
    </w:p>
    <w:p w14:paraId="348E00EE" w14:textId="77777777" w:rsidR="00E61384" w:rsidRDefault="0093607B">
      <w:pPr>
        <w:pStyle w:val="20"/>
        <w:spacing w:line="520" w:lineRule="exact"/>
        <w:ind w:firstLineChars="200" w:firstLine="480"/>
        <w:rPr>
          <w:rFonts w:hAnsi="宋体"/>
          <w:szCs w:val="24"/>
        </w:rPr>
      </w:pPr>
      <w:r>
        <w:rPr>
          <w:rFonts w:hAnsi="宋体" w:hint="eastAsia"/>
          <w:szCs w:val="24"/>
        </w:rPr>
        <w:t>11.2基金托管人的托管费</w:t>
      </w:r>
    </w:p>
    <w:p w14:paraId="46C673BE" w14:textId="77777777" w:rsidR="00E61384" w:rsidRDefault="0093607B">
      <w:pPr>
        <w:pStyle w:val="20"/>
        <w:spacing w:line="520" w:lineRule="exact"/>
        <w:ind w:firstLineChars="200" w:firstLine="480"/>
        <w:rPr>
          <w:rFonts w:hAnsi="宋体"/>
          <w:szCs w:val="24"/>
        </w:rPr>
      </w:pPr>
      <w:r>
        <w:rPr>
          <w:rFonts w:hAnsi="宋体" w:hint="eastAsia"/>
          <w:szCs w:val="24"/>
        </w:rPr>
        <w:t>本基金的托管费按前一日基金资产净值的0.05%的年费率计提。托管费的计算方法如下：</w:t>
      </w:r>
    </w:p>
    <w:p w14:paraId="46530C3A" w14:textId="77777777" w:rsidR="00E61384" w:rsidRDefault="0093607B">
      <w:pPr>
        <w:pStyle w:val="20"/>
        <w:spacing w:line="520" w:lineRule="exact"/>
        <w:ind w:firstLineChars="200" w:firstLine="480"/>
        <w:rPr>
          <w:rFonts w:hAnsi="宋体"/>
          <w:szCs w:val="24"/>
        </w:rPr>
      </w:pPr>
      <w:r>
        <w:rPr>
          <w:rFonts w:hAnsi="宋体" w:hint="eastAsia"/>
          <w:szCs w:val="24"/>
        </w:rPr>
        <w:lastRenderedPageBreak/>
        <w:t>H＝E×0.05%÷当年天数</w:t>
      </w:r>
    </w:p>
    <w:p w14:paraId="7B08DC7E" w14:textId="77777777" w:rsidR="00E61384" w:rsidRDefault="0093607B">
      <w:pPr>
        <w:pStyle w:val="20"/>
        <w:spacing w:line="520" w:lineRule="exact"/>
        <w:ind w:firstLineChars="200" w:firstLine="480"/>
        <w:rPr>
          <w:rFonts w:hAnsi="宋体"/>
          <w:szCs w:val="24"/>
        </w:rPr>
      </w:pPr>
      <w:r>
        <w:rPr>
          <w:rFonts w:hAnsi="宋体" w:hint="eastAsia"/>
          <w:szCs w:val="24"/>
        </w:rPr>
        <w:t>H为每日应计提的基金托管费</w:t>
      </w:r>
    </w:p>
    <w:p w14:paraId="1DFFBC4C" w14:textId="77777777" w:rsidR="00E61384" w:rsidRDefault="0093607B">
      <w:pPr>
        <w:pStyle w:val="20"/>
        <w:spacing w:line="520" w:lineRule="exact"/>
        <w:ind w:firstLineChars="200" w:firstLine="480"/>
        <w:rPr>
          <w:rFonts w:hAnsi="宋体"/>
          <w:szCs w:val="24"/>
        </w:rPr>
      </w:pPr>
      <w:r>
        <w:rPr>
          <w:rFonts w:hAnsi="宋体" w:hint="eastAsia"/>
          <w:szCs w:val="24"/>
        </w:rPr>
        <w:t>E为前一日的基金资产净值</w:t>
      </w:r>
    </w:p>
    <w:p w14:paraId="76E76016" w14:textId="77777777" w:rsidR="00E61384" w:rsidRDefault="0093607B">
      <w:pPr>
        <w:pStyle w:val="20"/>
        <w:spacing w:line="520" w:lineRule="exact"/>
        <w:ind w:firstLineChars="200" w:firstLine="480"/>
        <w:rPr>
          <w:rFonts w:hAnsi="宋体"/>
          <w:szCs w:val="24"/>
        </w:rPr>
      </w:pPr>
      <w:r>
        <w:rPr>
          <w:rFonts w:hAnsi="宋体" w:hint="eastAsia"/>
          <w:szCs w:val="24"/>
        </w:rPr>
        <w:t>基金托管费每日计算，逐日累计至每月月末，按月支付，由基金托管人根据与基金管理人核对一致的财务数据，自动在月初5</w:t>
      </w:r>
      <w:proofErr w:type="gramStart"/>
      <w:r>
        <w:rPr>
          <w:rFonts w:hAnsi="宋体" w:hint="eastAsia"/>
          <w:szCs w:val="24"/>
        </w:rPr>
        <w:t>个</w:t>
      </w:r>
      <w:proofErr w:type="gramEnd"/>
      <w:r>
        <w:rPr>
          <w:rFonts w:hAnsi="宋体" w:hint="eastAsia"/>
          <w:szCs w:val="24"/>
        </w:rPr>
        <w:t>工作日内、按照指定的账户路径进行资金支付，基金管理人无需再出具资金划拨指令。若遇法定节假日、公休日等，支付日期顺延。费用自动扣划后，基金管理人应进行核对，如发现数据不符，及时联系基金托管人协商解决。</w:t>
      </w:r>
    </w:p>
    <w:bookmarkEnd w:id="67"/>
    <w:p w14:paraId="255E19D7" w14:textId="77777777" w:rsidR="00E61384" w:rsidRDefault="0093607B">
      <w:pPr>
        <w:pStyle w:val="20"/>
        <w:spacing w:line="520" w:lineRule="exact"/>
        <w:ind w:firstLineChars="200" w:firstLine="480"/>
        <w:rPr>
          <w:rFonts w:hAnsi="宋体"/>
          <w:szCs w:val="24"/>
        </w:rPr>
      </w:pPr>
      <w:r>
        <w:rPr>
          <w:rFonts w:hAnsi="宋体"/>
          <w:szCs w:val="24"/>
        </w:rPr>
        <w:t>11.4</w:t>
      </w:r>
      <w:r>
        <w:rPr>
          <w:rFonts w:hAnsi="宋体" w:hint="eastAsia"/>
        </w:rPr>
        <w:t>基金的证券、期货交易费用；《基金合同》生效后与基金相关的信息披露费用，但法律法规、中国证监会另有规定的除外；《基金合同》生效后与基金相关的会计师费、律师费、仲裁费和诉讼费；基金份额持有人大会费用；基金银行汇划费用、账户开户及维护费用、场内注册登记费用、IOPV计算与发布费用、收益分配中发生的费用；基金上市初费及年费；按照国家有关规定和《基金合同》约定，可以在基金财产中列支的其他费用等根据有关法规、《基金合同》及相应协议的规定，由基金托管人按基金管理人的划款指令并根据费用实际支出金额支付，列入当期基金费用。</w:t>
      </w:r>
    </w:p>
    <w:p w14:paraId="26120BAC" w14:textId="77777777" w:rsidR="00E61384" w:rsidRDefault="0093607B">
      <w:pPr>
        <w:pStyle w:val="20"/>
        <w:spacing w:line="520" w:lineRule="exact"/>
        <w:ind w:firstLineChars="200" w:firstLine="480"/>
        <w:rPr>
          <w:rFonts w:hAnsi="宋体"/>
          <w:szCs w:val="24"/>
        </w:rPr>
      </w:pPr>
      <w:r>
        <w:rPr>
          <w:rFonts w:hAnsi="宋体" w:hint="eastAsia"/>
          <w:szCs w:val="24"/>
        </w:rPr>
        <w:t>11.</w:t>
      </w:r>
      <w:r>
        <w:rPr>
          <w:rFonts w:hAnsi="宋体"/>
          <w:szCs w:val="24"/>
        </w:rPr>
        <w:t>5</w:t>
      </w:r>
      <w:r>
        <w:rPr>
          <w:rFonts w:hAnsi="宋体" w:hint="eastAsia"/>
          <w:szCs w:val="24"/>
        </w:rPr>
        <w:t>不列入基金费用的项目：</w:t>
      </w:r>
    </w:p>
    <w:p w14:paraId="1D5692AA" w14:textId="77777777" w:rsidR="00E61384" w:rsidRDefault="0093607B">
      <w:pPr>
        <w:pStyle w:val="20"/>
        <w:numPr>
          <w:ilvl w:val="0"/>
          <w:numId w:val="5"/>
        </w:numPr>
        <w:spacing w:line="520" w:lineRule="exact"/>
        <w:rPr>
          <w:rFonts w:hAnsi="宋体"/>
          <w:szCs w:val="24"/>
        </w:rPr>
      </w:pPr>
      <w:r>
        <w:rPr>
          <w:rFonts w:hAnsi="宋体" w:hint="eastAsia"/>
          <w:szCs w:val="24"/>
        </w:rPr>
        <w:t>基金管理人和基金托管人因未履行或未完全履行义务导致的费用支出或基金财产的损失；</w:t>
      </w:r>
    </w:p>
    <w:p w14:paraId="1D453AAF" w14:textId="77777777" w:rsidR="00E61384" w:rsidRDefault="0093607B">
      <w:pPr>
        <w:pStyle w:val="20"/>
        <w:numPr>
          <w:ilvl w:val="0"/>
          <w:numId w:val="5"/>
        </w:numPr>
        <w:spacing w:line="520" w:lineRule="exact"/>
        <w:rPr>
          <w:rFonts w:hAnsi="宋体"/>
          <w:szCs w:val="24"/>
        </w:rPr>
      </w:pPr>
      <w:r>
        <w:rPr>
          <w:rFonts w:hAnsi="宋体" w:hint="eastAsia"/>
          <w:szCs w:val="24"/>
        </w:rPr>
        <w:t>基金管理人和基金托管人处理与基金运作无关的事项发生的费用；</w:t>
      </w:r>
    </w:p>
    <w:p w14:paraId="03E90486" w14:textId="77777777" w:rsidR="00E61384" w:rsidRDefault="0093607B">
      <w:pPr>
        <w:pStyle w:val="20"/>
        <w:numPr>
          <w:ilvl w:val="0"/>
          <w:numId w:val="5"/>
        </w:numPr>
        <w:spacing w:line="520" w:lineRule="exact"/>
        <w:rPr>
          <w:rFonts w:hAnsi="宋体"/>
          <w:szCs w:val="24"/>
        </w:rPr>
      </w:pPr>
      <w:r>
        <w:rPr>
          <w:rFonts w:hAnsi="宋体" w:hint="eastAsia"/>
          <w:szCs w:val="24"/>
        </w:rPr>
        <w:t>基金合同生效前的相关费用，包括但不限于</w:t>
      </w:r>
      <w:proofErr w:type="gramStart"/>
      <w:r>
        <w:rPr>
          <w:rFonts w:hAnsi="宋体" w:hint="eastAsia"/>
          <w:szCs w:val="24"/>
        </w:rPr>
        <w:t>验</w:t>
      </w:r>
      <w:proofErr w:type="gramEnd"/>
      <w:r>
        <w:rPr>
          <w:rFonts w:hAnsi="宋体" w:hint="eastAsia"/>
          <w:szCs w:val="24"/>
        </w:rPr>
        <w:t>资费、会计师、律师费、信息披露费用等费用；</w:t>
      </w:r>
    </w:p>
    <w:p w14:paraId="1D5F3DF5" w14:textId="77777777" w:rsidR="00E61384" w:rsidRDefault="0093607B">
      <w:pPr>
        <w:pStyle w:val="20"/>
        <w:numPr>
          <w:ilvl w:val="0"/>
          <w:numId w:val="5"/>
        </w:numPr>
        <w:spacing w:line="520" w:lineRule="exact"/>
        <w:rPr>
          <w:rFonts w:hAnsi="宋体"/>
          <w:szCs w:val="24"/>
        </w:rPr>
      </w:pPr>
      <w:r>
        <w:rPr>
          <w:rFonts w:hAnsi="宋体" w:hint="eastAsia"/>
          <w:szCs w:val="24"/>
        </w:rPr>
        <w:t>标的指数使用费（由基金管理人承担）；</w:t>
      </w:r>
    </w:p>
    <w:p w14:paraId="69D89919" w14:textId="77777777" w:rsidR="00E61384" w:rsidRDefault="0093607B">
      <w:pPr>
        <w:pStyle w:val="20"/>
        <w:numPr>
          <w:ilvl w:val="0"/>
          <w:numId w:val="5"/>
        </w:numPr>
        <w:spacing w:line="520" w:lineRule="exact"/>
        <w:rPr>
          <w:rFonts w:hAnsi="宋体"/>
          <w:szCs w:val="24"/>
        </w:rPr>
      </w:pPr>
      <w:r>
        <w:rPr>
          <w:rFonts w:hAnsi="宋体" w:hint="eastAsia"/>
          <w:szCs w:val="24"/>
        </w:rPr>
        <w:t>其他根据相关法律法规及中国证监会的有关规定不得列入基金费用的项目。</w:t>
      </w:r>
    </w:p>
    <w:p w14:paraId="35763DA8" w14:textId="77777777" w:rsidR="00E61384" w:rsidRDefault="0093607B">
      <w:pPr>
        <w:pStyle w:val="20"/>
        <w:spacing w:line="520" w:lineRule="exact"/>
        <w:ind w:firstLineChars="200" w:firstLine="480"/>
        <w:rPr>
          <w:rFonts w:hAnsi="宋体"/>
          <w:szCs w:val="24"/>
        </w:rPr>
      </w:pPr>
      <w:r>
        <w:rPr>
          <w:rFonts w:hAnsi="宋体" w:hint="eastAsia"/>
          <w:szCs w:val="24"/>
        </w:rPr>
        <w:t>11.</w:t>
      </w:r>
      <w:r>
        <w:rPr>
          <w:rFonts w:hAnsi="宋体"/>
          <w:szCs w:val="24"/>
        </w:rPr>
        <w:t>6</w:t>
      </w:r>
      <w:r>
        <w:rPr>
          <w:rFonts w:hAnsi="宋体" w:hint="eastAsia"/>
          <w:szCs w:val="24"/>
        </w:rPr>
        <w:t>如果基金托管人发现基金管理人违反有关法律法规的有关规定和基</w:t>
      </w:r>
      <w:r>
        <w:rPr>
          <w:rFonts w:hAnsi="宋体" w:hint="eastAsia"/>
          <w:szCs w:val="24"/>
        </w:rPr>
        <w:lastRenderedPageBreak/>
        <w:t>金合同、本协议的约定，从基金财产中列支费用，有权要求基金管理人做出书面解释，如果基金托管人认为基金管理人无正当或合理的理由，可以拒绝支付。</w:t>
      </w:r>
    </w:p>
    <w:p w14:paraId="14282D40" w14:textId="77777777" w:rsidR="00E61384" w:rsidRDefault="00E61384">
      <w:pPr>
        <w:pStyle w:val="20"/>
        <w:spacing w:before="0" w:after="0" w:line="520" w:lineRule="exact"/>
        <w:ind w:left="0" w:firstLineChars="200" w:firstLine="480"/>
        <w:rPr>
          <w:rFonts w:hAnsi="宋体"/>
          <w:szCs w:val="24"/>
        </w:rPr>
      </w:pPr>
    </w:p>
    <w:p w14:paraId="645CB435" w14:textId="77777777" w:rsidR="00E61384" w:rsidRDefault="0093607B">
      <w:pPr>
        <w:pStyle w:val="1"/>
        <w:spacing w:line="520" w:lineRule="exact"/>
        <w:ind w:firstLineChars="200" w:firstLine="482"/>
        <w:rPr>
          <w:bCs/>
          <w:color w:val="auto"/>
          <w:szCs w:val="24"/>
        </w:rPr>
      </w:pPr>
      <w:bookmarkStart w:id="68" w:name="_Toc142055716"/>
      <w:bookmarkStart w:id="69" w:name="_Toc296551348"/>
      <w:bookmarkStart w:id="70" w:name="_Toc17910"/>
      <w:bookmarkStart w:id="71" w:name="_Toc4870335"/>
      <w:r>
        <w:rPr>
          <w:rFonts w:hint="eastAsia"/>
          <w:bCs/>
          <w:color w:val="auto"/>
          <w:szCs w:val="24"/>
        </w:rPr>
        <w:t>第十二条 基金份额持有人名册的保管</w:t>
      </w:r>
      <w:bookmarkEnd w:id="68"/>
      <w:bookmarkEnd w:id="69"/>
      <w:bookmarkEnd w:id="70"/>
      <w:bookmarkEnd w:id="71"/>
    </w:p>
    <w:p w14:paraId="537A4BC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12.1基金管理人和基金托管人须分别妥善保管的基金份额持有人名册，基金份额持有人名册的内容必须包括基金份额持有人的名称和持有的基金份额。</w:t>
      </w:r>
    </w:p>
    <w:p w14:paraId="15BA6BD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12.2基金份额持有人名册由基金的基金登记机构根据基金管理人的指令编制和保管，基金管理人和基金托管人应按照目前相关规则分别保管基金份额持有人名册。保管方式可以采用电子或文档的形式。保管期限不低于法律法规规定的最低期限。</w:t>
      </w:r>
    </w:p>
    <w:p w14:paraId="2BC8AAD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12.3基金管理人应当及时向基金托管人定期或不定期提交基金份额持有人名册。基金份额持有人名册的内容必须包括基金份额持有人的名称和持有的基金份额。基金托管人可以采用电子或文档的形式妥善保管基金份额持有人名册，保存期限不低于法律法规规定的最低期限。基金托管人不得将所保管的基金份额持有人名册用于基金托管业务以外的其他用途，并应遵守保密义务。</w:t>
      </w:r>
      <w:r>
        <w:rPr>
          <w:rFonts w:hAnsi="宋体"/>
          <w:szCs w:val="24"/>
        </w:rPr>
        <w:t>法律法规或监管规则另有</w:t>
      </w:r>
      <w:r>
        <w:rPr>
          <w:rFonts w:hAnsi="宋体" w:hint="eastAsia"/>
          <w:szCs w:val="24"/>
        </w:rPr>
        <w:t>规定</w:t>
      </w:r>
      <w:r>
        <w:rPr>
          <w:rFonts w:hAnsi="宋体"/>
          <w:szCs w:val="24"/>
        </w:rPr>
        <w:t>的，从其规定</w:t>
      </w:r>
      <w:r>
        <w:rPr>
          <w:rFonts w:hAnsi="宋体" w:hint="eastAsia"/>
          <w:szCs w:val="24"/>
        </w:rPr>
        <w:t>。</w:t>
      </w:r>
    </w:p>
    <w:p w14:paraId="4C4EE4B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12.4</w:t>
      </w:r>
      <w:proofErr w:type="gramStart"/>
      <w:r>
        <w:rPr>
          <w:rFonts w:hAnsi="宋体" w:hint="eastAsia"/>
          <w:szCs w:val="24"/>
        </w:rPr>
        <w:t>若基金</w:t>
      </w:r>
      <w:proofErr w:type="gramEnd"/>
      <w:r>
        <w:rPr>
          <w:rFonts w:hAnsi="宋体" w:hint="eastAsia"/>
          <w:szCs w:val="24"/>
        </w:rPr>
        <w:t>管理人或基金托管人由于自身原因无法妥善保管基金份额持有人名册，应按有关法规规定各自承担相应的责任。</w:t>
      </w:r>
    </w:p>
    <w:p w14:paraId="09A99F9F" w14:textId="77777777" w:rsidR="00E61384" w:rsidRDefault="00E61384">
      <w:pPr>
        <w:pStyle w:val="20"/>
        <w:spacing w:before="0" w:after="0" w:line="520" w:lineRule="exact"/>
        <w:ind w:left="0" w:firstLineChars="200" w:firstLine="480"/>
        <w:rPr>
          <w:rFonts w:hAnsi="宋体"/>
          <w:szCs w:val="24"/>
        </w:rPr>
      </w:pPr>
    </w:p>
    <w:p w14:paraId="4B5D4764" w14:textId="77777777" w:rsidR="00E61384" w:rsidRDefault="0093607B">
      <w:pPr>
        <w:pStyle w:val="1"/>
        <w:spacing w:line="520" w:lineRule="exact"/>
        <w:ind w:firstLineChars="200" w:firstLine="482"/>
        <w:rPr>
          <w:bCs/>
          <w:color w:val="auto"/>
          <w:szCs w:val="24"/>
        </w:rPr>
      </w:pPr>
      <w:bookmarkStart w:id="72" w:name="_Toc4870336"/>
      <w:bookmarkStart w:id="73" w:name="_Toc142055717"/>
      <w:bookmarkStart w:id="74" w:name="_Toc296551349"/>
      <w:bookmarkStart w:id="75" w:name="_Toc27275"/>
      <w:r>
        <w:rPr>
          <w:rFonts w:hint="eastAsia"/>
          <w:bCs/>
          <w:color w:val="auto"/>
          <w:szCs w:val="24"/>
        </w:rPr>
        <w:t>第十三条 基金有关文件和档案的保存</w:t>
      </w:r>
      <w:bookmarkEnd w:id="72"/>
      <w:bookmarkEnd w:id="73"/>
      <w:bookmarkEnd w:id="74"/>
      <w:bookmarkEnd w:id="75"/>
    </w:p>
    <w:p w14:paraId="54889CB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13.1基金管理人、基金托管人按各自职责完整保存原始凭证、记账凭证、基金账册、交易记录和重要合同等，基金托管人保存期限不低于法律法规规定的最低期限。基金管理人、基金托管人对相关信息负有保密义务，但司法强制检查情形及法律法规规定的其他情形除外。其中，基金管理人应保存基金财产管理业务活动的记录、账册、报表和其他相关资料，基金托管人应保存基金托管业务活动的记录、账册、报表和其他相关资料。</w:t>
      </w:r>
    </w:p>
    <w:p w14:paraId="17F227E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13.2基金管理人签署重大合同文本后，应及时将合同文本正本送达基金托管人处。基金管理人应及时将与本基金账务处理、资金划拨等有关的合同、协议传真给基金托管人。</w:t>
      </w:r>
    </w:p>
    <w:p w14:paraId="3FF26F1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13.3基金管理人或基金托管人变更后，未变更的一方有义务协助接任人接收基金的有关文件。</w:t>
      </w:r>
    </w:p>
    <w:p w14:paraId="529C7D7A" w14:textId="77777777" w:rsidR="00E61384" w:rsidRDefault="00E61384">
      <w:pPr>
        <w:pStyle w:val="20"/>
        <w:spacing w:before="0" w:after="0" w:line="520" w:lineRule="exact"/>
        <w:ind w:left="0" w:firstLineChars="200" w:firstLine="480"/>
        <w:rPr>
          <w:rFonts w:hAnsi="宋体"/>
          <w:szCs w:val="24"/>
        </w:rPr>
      </w:pPr>
    </w:p>
    <w:p w14:paraId="58868D08" w14:textId="77777777" w:rsidR="00E61384" w:rsidRDefault="0093607B">
      <w:pPr>
        <w:pStyle w:val="1"/>
        <w:spacing w:line="520" w:lineRule="exact"/>
        <w:ind w:firstLineChars="200" w:firstLine="482"/>
        <w:rPr>
          <w:bCs/>
          <w:color w:val="auto"/>
          <w:szCs w:val="24"/>
        </w:rPr>
      </w:pPr>
      <w:bookmarkStart w:id="76" w:name="_Toc296551350"/>
      <w:bookmarkStart w:id="77" w:name="_Toc4870337"/>
      <w:bookmarkStart w:id="78" w:name="_Toc26337"/>
      <w:bookmarkStart w:id="79" w:name="_Toc142055718"/>
      <w:r>
        <w:rPr>
          <w:rFonts w:hint="eastAsia"/>
          <w:bCs/>
          <w:color w:val="auto"/>
          <w:szCs w:val="24"/>
        </w:rPr>
        <w:t>第十四条 基金管理人和基金托管人的更换</w:t>
      </w:r>
      <w:bookmarkEnd w:id="76"/>
      <w:bookmarkEnd w:id="77"/>
      <w:bookmarkEnd w:id="78"/>
      <w:bookmarkEnd w:id="79"/>
    </w:p>
    <w:p w14:paraId="3CDD5255" w14:textId="77777777" w:rsidR="00E61384" w:rsidRDefault="0093607B">
      <w:pPr>
        <w:pStyle w:val="20"/>
        <w:spacing w:before="0" w:after="0" w:line="520" w:lineRule="exact"/>
        <w:ind w:left="0" w:firstLineChars="200" w:firstLine="480"/>
        <w:rPr>
          <w:rFonts w:hAnsi="宋体"/>
          <w:szCs w:val="24"/>
        </w:rPr>
      </w:pPr>
      <w:bookmarkStart w:id="80" w:name="_Hlk116239256"/>
      <w:r>
        <w:rPr>
          <w:rFonts w:hAnsi="宋体" w:hint="eastAsia"/>
          <w:szCs w:val="24"/>
        </w:rPr>
        <w:t>14.1基金管理人的更换</w:t>
      </w:r>
    </w:p>
    <w:p w14:paraId="11AC6C5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14.1.1基金管理人的更换条件</w:t>
      </w:r>
    </w:p>
    <w:p w14:paraId="1EC4D07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有下列情形之一的，基金管理人职责终止：</w:t>
      </w:r>
    </w:p>
    <w:p w14:paraId="7F7E726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（1）基金管理人被依法取消基金管理资格；</w:t>
      </w:r>
    </w:p>
    <w:p w14:paraId="30F76EA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（2）基金管理人依法解散、被依法撤销或被依法宣告破产；</w:t>
      </w:r>
    </w:p>
    <w:p w14:paraId="1F5BB33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（3）基金管理人被基金份额持有人大会解任；</w:t>
      </w:r>
    </w:p>
    <w:p w14:paraId="1BF601B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（4）法律法规</w:t>
      </w:r>
      <w:r>
        <w:rPr>
          <w:rFonts w:hint="eastAsia"/>
          <w:bCs/>
        </w:rPr>
        <w:t>及中国证监会规定的</w:t>
      </w:r>
      <w:r>
        <w:rPr>
          <w:rFonts w:hAnsi="宋体" w:hint="eastAsia"/>
          <w:szCs w:val="24"/>
        </w:rPr>
        <w:t>和基金合同约定的其他情形。</w:t>
      </w:r>
    </w:p>
    <w:p w14:paraId="47ACBC0C" w14:textId="77777777" w:rsidR="00E61384" w:rsidRDefault="0093607B">
      <w:pPr>
        <w:pStyle w:val="20"/>
        <w:spacing w:before="0" w:after="0" w:line="520" w:lineRule="exact"/>
        <w:ind w:left="0" w:firstLineChars="200" w:firstLine="480"/>
        <w:rPr>
          <w:rFonts w:hAnsi="宋体"/>
          <w:szCs w:val="24"/>
        </w:rPr>
      </w:pPr>
      <w:bookmarkStart w:id="81" w:name="_Hlk204885666"/>
      <w:r>
        <w:rPr>
          <w:rFonts w:hAnsi="宋体" w:hint="eastAsia"/>
          <w:szCs w:val="24"/>
        </w:rPr>
        <w:t>14.1.2基金管理人的更换程序</w:t>
      </w:r>
    </w:p>
    <w:p w14:paraId="48B6E7C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更换基金管理人必须依照如下程序进行：</w:t>
      </w:r>
    </w:p>
    <w:p w14:paraId="2BE6D22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（1）提名：</w:t>
      </w:r>
      <w:proofErr w:type="gramStart"/>
      <w:r>
        <w:rPr>
          <w:rFonts w:hAnsi="宋体" w:hint="eastAsia"/>
          <w:szCs w:val="24"/>
        </w:rPr>
        <w:t>新任基金</w:t>
      </w:r>
      <w:proofErr w:type="gramEnd"/>
      <w:r>
        <w:rPr>
          <w:rFonts w:hAnsi="宋体" w:hint="eastAsia"/>
          <w:szCs w:val="24"/>
        </w:rPr>
        <w:t>管理人由基金托管人或由单独或合计持有10%以上（含10%）基金份额的基金份额持有人提名；</w:t>
      </w:r>
    </w:p>
    <w:p w14:paraId="5119DF1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决议：基金份额持有人大会在基金管理人职责终止后6个月内对被提名的基金管理人形成决议，该决议需经参加大会的基金份额持有人所持表决权的三分之二以上（含三分之二）表决通过，决议自表决通过之日起生效；</w:t>
      </w:r>
    </w:p>
    <w:p w14:paraId="6891426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（3）临时基金管理人：</w:t>
      </w:r>
      <w:proofErr w:type="gramStart"/>
      <w:r>
        <w:rPr>
          <w:rFonts w:hAnsi="宋体" w:hint="eastAsia"/>
          <w:szCs w:val="24"/>
        </w:rPr>
        <w:t>新任基金</w:t>
      </w:r>
      <w:proofErr w:type="gramEnd"/>
      <w:r>
        <w:rPr>
          <w:rFonts w:hAnsi="宋体" w:hint="eastAsia"/>
          <w:szCs w:val="24"/>
        </w:rPr>
        <w:t>管理人产生之前，由中国证监会指定临时基金管理人；</w:t>
      </w:r>
    </w:p>
    <w:p w14:paraId="27AD9F0C"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（4）备案：基金份额持有人大会更换基金管理人的决议须报中国证监会备案；</w:t>
      </w:r>
    </w:p>
    <w:p w14:paraId="4ABB4E3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（5）公告：基金管理人更换后，由基金托管人在更换基金管理人的基金份额持有人大会决议生效后按规定在规定媒介公告；</w:t>
      </w:r>
    </w:p>
    <w:p w14:paraId="0EB4C9C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（6）交接：原</w:t>
      </w:r>
      <w:r w:rsidR="00CC4FBA">
        <w:rPr>
          <w:rFonts w:hAnsi="宋体" w:hint="eastAsia"/>
          <w:szCs w:val="24"/>
        </w:rPr>
        <w:t>任</w:t>
      </w:r>
      <w:r>
        <w:rPr>
          <w:rFonts w:hAnsi="宋体" w:hint="eastAsia"/>
          <w:szCs w:val="24"/>
        </w:rPr>
        <w:t>基金管理人职责终止的，应妥善保管基金管理业务资料，及时向临时基金管理人或</w:t>
      </w:r>
      <w:proofErr w:type="gramStart"/>
      <w:r>
        <w:rPr>
          <w:rFonts w:hAnsi="宋体" w:hint="eastAsia"/>
          <w:szCs w:val="24"/>
        </w:rPr>
        <w:t>新任基金</w:t>
      </w:r>
      <w:proofErr w:type="gramEnd"/>
      <w:r>
        <w:rPr>
          <w:rFonts w:hAnsi="宋体" w:hint="eastAsia"/>
          <w:szCs w:val="24"/>
        </w:rPr>
        <w:t>管理人办理基金管理业务的移交手续，临时基金管理人或</w:t>
      </w:r>
      <w:proofErr w:type="gramStart"/>
      <w:r>
        <w:rPr>
          <w:rFonts w:hAnsi="宋体" w:hint="eastAsia"/>
          <w:szCs w:val="24"/>
        </w:rPr>
        <w:t>新任基金</w:t>
      </w:r>
      <w:proofErr w:type="gramEnd"/>
      <w:r>
        <w:rPr>
          <w:rFonts w:hAnsi="宋体" w:hint="eastAsia"/>
          <w:szCs w:val="24"/>
        </w:rPr>
        <w:t>管理人应及时接收。</w:t>
      </w:r>
      <w:proofErr w:type="gramStart"/>
      <w:r>
        <w:rPr>
          <w:rFonts w:hAnsi="宋体" w:hint="eastAsia"/>
          <w:szCs w:val="24"/>
        </w:rPr>
        <w:t>新任基金</w:t>
      </w:r>
      <w:proofErr w:type="gramEnd"/>
      <w:r>
        <w:rPr>
          <w:rFonts w:hAnsi="宋体" w:hint="eastAsia"/>
          <w:szCs w:val="24"/>
        </w:rPr>
        <w:t>管理人或临时基金管理人应与基金托管人核对基金资产总值和净值；</w:t>
      </w:r>
    </w:p>
    <w:p w14:paraId="48ACE44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（7）审计：基金管理人职责终止的，应当按照法律法规规定聘请符合《证券法》规定的会计师事务所对基金财产进行审计，并将审计结果予以公告，同时报中国证监会备案，审计费用从基金财产中列支；</w:t>
      </w:r>
    </w:p>
    <w:p w14:paraId="2BBE589A" w14:textId="77777777" w:rsidR="00CC4FBA" w:rsidRDefault="0093607B">
      <w:pPr>
        <w:pStyle w:val="20"/>
        <w:spacing w:before="0" w:after="0" w:line="520" w:lineRule="exact"/>
        <w:ind w:left="0" w:firstLineChars="200" w:firstLine="480"/>
        <w:rPr>
          <w:rFonts w:hAnsi="宋体"/>
          <w:szCs w:val="24"/>
        </w:rPr>
      </w:pPr>
      <w:r>
        <w:rPr>
          <w:rFonts w:hAnsi="宋体" w:hint="eastAsia"/>
          <w:szCs w:val="24"/>
        </w:rPr>
        <w:t>（8）基金名称变更：基金管理人更换后，如果原任或</w:t>
      </w:r>
      <w:proofErr w:type="gramStart"/>
      <w:r>
        <w:rPr>
          <w:rFonts w:hAnsi="宋体" w:hint="eastAsia"/>
          <w:szCs w:val="24"/>
        </w:rPr>
        <w:t>新任基金</w:t>
      </w:r>
      <w:proofErr w:type="gramEnd"/>
      <w:r>
        <w:rPr>
          <w:rFonts w:hAnsi="宋体" w:hint="eastAsia"/>
          <w:szCs w:val="24"/>
        </w:rPr>
        <w:t>管理人要求，应按其要求替换或删除基金名称中与原</w:t>
      </w:r>
      <w:r w:rsidR="00CC4FBA">
        <w:rPr>
          <w:rFonts w:hAnsi="宋体" w:hint="eastAsia"/>
          <w:szCs w:val="24"/>
        </w:rPr>
        <w:t>任</w:t>
      </w:r>
      <w:r>
        <w:rPr>
          <w:rFonts w:hAnsi="宋体" w:hint="eastAsia"/>
          <w:szCs w:val="24"/>
        </w:rPr>
        <w:t>基金管理人有关的名称字样。</w:t>
      </w:r>
    </w:p>
    <w:p w14:paraId="4059D97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14.2基金托管人的更换</w:t>
      </w:r>
    </w:p>
    <w:p w14:paraId="51F9B6E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14.2.1基金托管人的更换条件：</w:t>
      </w:r>
    </w:p>
    <w:p w14:paraId="73EA869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有下列情形之一的，基金托管人职责终止：</w:t>
      </w:r>
    </w:p>
    <w:p w14:paraId="073B5F4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（1）基金托管人被依法取消基金托管资格；</w:t>
      </w:r>
    </w:p>
    <w:p w14:paraId="0BC2CE49"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（2）基金托管人依法解散、被依法撤销或被依法宣告破产；</w:t>
      </w:r>
    </w:p>
    <w:p w14:paraId="4B706F6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（3）基金托管人被基金份额持有人大会解任；</w:t>
      </w:r>
    </w:p>
    <w:p w14:paraId="336FAF8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（4）法律法规</w:t>
      </w:r>
      <w:r>
        <w:rPr>
          <w:rFonts w:hint="eastAsia"/>
          <w:bCs/>
        </w:rPr>
        <w:t>及中国证监会规定的</w:t>
      </w:r>
      <w:r>
        <w:rPr>
          <w:rFonts w:hAnsi="宋体" w:hint="eastAsia"/>
          <w:szCs w:val="24"/>
        </w:rPr>
        <w:t>和基金合同约定的其他情形。</w:t>
      </w:r>
    </w:p>
    <w:p w14:paraId="5EAE468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14.2.2基金托管人的更换程序</w:t>
      </w:r>
    </w:p>
    <w:p w14:paraId="5ED3A8FD"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（1）提名：</w:t>
      </w:r>
      <w:proofErr w:type="gramStart"/>
      <w:r>
        <w:rPr>
          <w:rFonts w:ascii="宋体" w:hAnsi="宋体" w:cs="宋体" w:hint="eastAsia"/>
          <w:kern w:val="0"/>
          <w:sz w:val="24"/>
          <w:szCs w:val="24"/>
        </w:rPr>
        <w:t>新任基金</w:t>
      </w:r>
      <w:proofErr w:type="gramEnd"/>
      <w:r>
        <w:rPr>
          <w:rFonts w:ascii="宋体" w:hAnsi="宋体" w:cs="宋体" w:hint="eastAsia"/>
          <w:kern w:val="0"/>
          <w:sz w:val="24"/>
          <w:szCs w:val="24"/>
        </w:rPr>
        <w:t>托管人由基金管理人或由单独或合计持有</w:t>
      </w:r>
      <w:r>
        <w:rPr>
          <w:rFonts w:ascii="宋体" w:hAnsi="宋体"/>
          <w:kern w:val="0"/>
          <w:sz w:val="24"/>
          <w:szCs w:val="24"/>
        </w:rPr>
        <w:t>10%</w:t>
      </w:r>
      <w:r>
        <w:rPr>
          <w:rFonts w:ascii="宋体" w:hAnsi="宋体" w:cs="宋体" w:hint="eastAsia"/>
          <w:kern w:val="0"/>
          <w:sz w:val="24"/>
          <w:szCs w:val="24"/>
        </w:rPr>
        <w:t>以上（含</w:t>
      </w:r>
      <w:r>
        <w:rPr>
          <w:rFonts w:ascii="宋体" w:hAnsi="宋体"/>
          <w:kern w:val="0"/>
          <w:sz w:val="24"/>
          <w:szCs w:val="24"/>
        </w:rPr>
        <w:t>10%</w:t>
      </w:r>
      <w:r>
        <w:rPr>
          <w:rFonts w:ascii="宋体" w:hAnsi="宋体" w:cs="宋体" w:hint="eastAsia"/>
          <w:kern w:val="0"/>
          <w:sz w:val="24"/>
          <w:szCs w:val="24"/>
        </w:rPr>
        <w:t>）基金份额的基金份额持有人提名；</w:t>
      </w:r>
    </w:p>
    <w:p w14:paraId="7906E1DA"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（2）决议：基金份额持有人大会在基金托管人职责终止后</w:t>
      </w:r>
      <w:r>
        <w:rPr>
          <w:rFonts w:ascii="宋体" w:hAnsi="宋体"/>
          <w:kern w:val="0"/>
          <w:sz w:val="24"/>
          <w:szCs w:val="24"/>
        </w:rPr>
        <w:t>6</w:t>
      </w:r>
      <w:r>
        <w:rPr>
          <w:rFonts w:ascii="宋体" w:hAnsi="宋体" w:cs="宋体" w:hint="eastAsia"/>
          <w:kern w:val="0"/>
          <w:sz w:val="24"/>
          <w:szCs w:val="24"/>
        </w:rPr>
        <w:t>个月内对被提名的基金托管人形成决议，该决议需经参加大会的基金份额持有人所持表决权的三分之二以上（含三分之二）表决通过</w:t>
      </w:r>
      <w:r>
        <w:rPr>
          <w:rFonts w:hint="eastAsia"/>
          <w:bCs/>
          <w:sz w:val="24"/>
        </w:rPr>
        <w:t>，决议自表决通过之日起生效</w:t>
      </w:r>
      <w:r>
        <w:rPr>
          <w:rFonts w:ascii="宋体" w:hAnsi="宋体" w:cs="宋体" w:hint="eastAsia"/>
          <w:kern w:val="0"/>
          <w:sz w:val="24"/>
          <w:szCs w:val="24"/>
        </w:rPr>
        <w:t>；</w:t>
      </w:r>
    </w:p>
    <w:p w14:paraId="18135046"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（3）临时基金托管人：</w:t>
      </w:r>
      <w:proofErr w:type="gramStart"/>
      <w:r>
        <w:rPr>
          <w:rFonts w:ascii="宋体" w:hAnsi="宋体" w:cs="宋体" w:hint="eastAsia"/>
          <w:kern w:val="0"/>
          <w:sz w:val="24"/>
          <w:szCs w:val="24"/>
        </w:rPr>
        <w:t>新任基金</w:t>
      </w:r>
      <w:proofErr w:type="gramEnd"/>
      <w:r>
        <w:rPr>
          <w:rFonts w:ascii="宋体" w:hAnsi="宋体" w:cs="宋体" w:hint="eastAsia"/>
          <w:kern w:val="0"/>
          <w:sz w:val="24"/>
          <w:szCs w:val="24"/>
        </w:rPr>
        <w:t>托管人产生之前，由中国证监会指定临时基金托管人；</w:t>
      </w:r>
    </w:p>
    <w:p w14:paraId="37FB4C72"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（4）备案：基金份额持有人大会更换基金托管人的决议须报中国证监会备案；</w:t>
      </w:r>
    </w:p>
    <w:p w14:paraId="3EB0820A"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（5）公告：基金托管人更换后，由基金管理人在更换基金托管人的基金份额持有人大会决议生效后</w:t>
      </w:r>
      <w:r>
        <w:rPr>
          <w:rFonts w:ascii="宋体" w:hAnsi="宋体" w:hint="eastAsia"/>
          <w:kern w:val="0"/>
          <w:sz w:val="24"/>
          <w:szCs w:val="24"/>
        </w:rPr>
        <w:t>按规定</w:t>
      </w:r>
      <w:r>
        <w:rPr>
          <w:rFonts w:ascii="宋体" w:hAnsi="宋体" w:cs="宋体" w:hint="eastAsia"/>
          <w:kern w:val="0"/>
          <w:sz w:val="24"/>
          <w:szCs w:val="24"/>
        </w:rPr>
        <w:t>在规定媒介公告；</w:t>
      </w:r>
    </w:p>
    <w:p w14:paraId="14797E32"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lastRenderedPageBreak/>
        <w:t>（6）交接：原</w:t>
      </w:r>
      <w:r w:rsidR="00CC4FBA" w:rsidRPr="00CC4FBA">
        <w:rPr>
          <w:rFonts w:ascii="宋体" w:hAnsi="宋体" w:cs="宋体" w:hint="eastAsia"/>
          <w:kern w:val="0"/>
          <w:sz w:val="24"/>
          <w:szCs w:val="24"/>
        </w:rPr>
        <w:t>任</w:t>
      </w:r>
      <w:r>
        <w:rPr>
          <w:rFonts w:ascii="宋体" w:hAnsi="宋体" w:cs="宋体" w:hint="eastAsia"/>
          <w:kern w:val="0"/>
          <w:sz w:val="24"/>
          <w:szCs w:val="24"/>
        </w:rPr>
        <w:t>基金托管人职责终止的，应当妥善保管基金财产和基金托管业务资料，及时办理基金财产和基金托管业务的移交手续，</w:t>
      </w:r>
      <w:proofErr w:type="gramStart"/>
      <w:r>
        <w:rPr>
          <w:rFonts w:ascii="宋体" w:hAnsi="宋体" w:cs="宋体" w:hint="eastAsia"/>
          <w:kern w:val="0"/>
          <w:sz w:val="24"/>
          <w:szCs w:val="24"/>
        </w:rPr>
        <w:t>新任基金</w:t>
      </w:r>
      <w:proofErr w:type="gramEnd"/>
      <w:r>
        <w:rPr>
          <w:rFonts w:ascii="宋体" w:hAnsi="宋体" w:cs="宋体" w:hint="eastAsia"/>
          <w:kern w:val="0"/>
          <w:sz w:val="24"/>
          <w:szCs w:val="24"/>
        </w:rPr>
        <w:t>托管人或者临时基金托管人应当及时接收。</w:t>
      </w:r>
      <w:proofErr w:type="gramStart"/>
      <w:r>
        <w:rPr>
          <w:rFonts w:ascii="宋体" w:hAnsi="宋体" w:cs="宋体" w:hint="eastAsia"/>
          <w:kern w:val="0"/>
          <w:sz w:val="24"/>
          <w:szCs w:val="24"/>
        </w:rPr>
        <w:t>新任基金</w:t>
      </w:r>
      <w:proofErr w:type="gramEnd"/>
      <w:r>
        <w:rPr>
          <w:rFonts w:ascii="宋体" w:hAnsi="宋体" w:cs="宋体" w:hint="eastAsia"/>
          <w:kern w:val="0"/>
          <w:sz w:val="24"/>
          <w:szCs w:val="24"/>
        </w:rPr>
        <w:t>托管人或</w:t>
      </w:r>
      <w:r>
        <w:rPr>
          <w:rFonts w:ascii="宋体" w:hAnsi="宋体" w:cs="宋体"/>
          <w:kern w:val="0"/>
          <w:sz w:val="24"/>
          <w:szCs w:val="24"/>
        </w:rPr>
        <w:t>临时基金托管人</w:t>
      </w:r>
      <w:r>
        <w:rPr>
          <w:rFonts w:ascii="宋体" w:hAnsi="宋体" w:cs="宋体" w:hint="eastAsia"/>
          <w:kern w:val="0"/>
          <w:sz w:val="24"/>
          <w:szCs w:val="24"/>
        </w:rPr>
        <w:t>应与基金管理人核对基金资产总值和净值；</w:t>
      </w:r>
    </w:p>
    <w:p w14:paraId="13EAFF5C" w14:textId="77777777" w:rsidR="00E61384" w:rsidRDefault="0093607B">
      <w:pPr>
        <w:autoSpaceDE w:val="0"/>
        <w:autoSpaceDN w:val="0"/>
        <w:adjustRightInd w:val="0"/>
        <w:spacing w:line="360" w:lineRule="auto"/>
        <w:ind w:firstLineChars="200" w:firstLine="480"/>
        <w:jc w:val="left"/>
        <w:rPr>
          <w:rFonts w:ascii="宋体" w:hAnsi="宋体" w:cs="宋体"/>
          <w:kern w:val="0"/>
          <w:sz w:val="24"/>
          <w:szCs w:val="24"/>
        </w:rPr>
      </w:pPr>
      <w:r>
        <w:rPr>
          <w:rFonts w:ascii="宋体" w:hAnsi="宋体" w:hint="eastAsia"/>
          <w:kern w:val="0"/>
          <w:sz w:val="24"/>
          <w:szCs w:val="24"/>
        </w:rPr>
        <w:t>（7）</w:t>
      </w:r>
      <w:r>
        <w:rPr>
          <w:rFonts w:ascii="宋体" w:hAnsi="宋体" w:cs="宋体" w:hint="eastAsia"/>
          <w:kern w:val="0"/>
          <w:sz w:val="24"/>
          <w:szCs w:val="24"/>
        </w:rPr>
        <w:t>审计：基金托管人职责终止的，应当按照法律法规规定聘请符合《证券法》规定的会计师事务所对基金财产进行审计，并将审计结果予以公告，同时报中国证监会备案，审计费用从基金财产中列支。</w:t>
      </w:r>
    </w:p>
    <w:p w14:paraId="395332E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14.3基金管理人与基金托管人同时更换</w:t>
      </w:r>
    </w:p>
    <w:p w14:paraId="47D5AB61"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14.3.1提名：如果基金管理人和基金托管人同时更换，由单独或合计持有基金总份额10%以上</w:t>
      </w:r>
      <w:r>
        <w:rPr>
          <w:bCs/>
        </w:rPr>
        <w:t>（含</w:t>
      </w:r>
      <w:r>
        <w:rPr>
          <w:rFonts w:hint="eastAsia"/>
          <w:bCs/>
        </w:rPr>
        <w:t>10%</w:t>
      </w:r>
      <w:r>
        <w:rPr>
          <w:bCs/>
        </w:rPr>
        <w:t>）</w:t>
      </w:r>
      <w:r>
        <w:rPr>
          <w:rFonts w:hAnsi="宋体" w:hint="eastAsia"/>
          <w:szCs w:val="24"/>
        </w:rPr>
        <w:t>的基金份额持有人提名新的基金管理人和基金托管人。</w:t>
      </w:r>
    </w:p>
    <w:p w14:paraId="6B1C76B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14.3.2基金管理人和基金托管人的更换分别按上述程序进行。</w:t>
      </w:r>
    </w:p>
    <w:p w14:paraId="3E021E98" w14:textId="77777777" w:rsidR="00E61384" w:rsidRDefault="0093607B">
      <w:pPr>
        <w:pStyle w:val="20"/>
        <w:spacing w:before="0" w:after="0" w:line="520" w:lineRule="exact"/>
        <w:ind w:left="0" w:firstLineChars="200" w:firstLine="480"/>
        <w:rPr>
          <w:rFonts w:hAnsi="宋体"/>
          <w:szCs w:val="24"/>
        </w:rPr>
      </w:pPr>
      <w:r>
        <w:rPr>
          <w:rFonts w:hAnsi="宋体"/>
          <w:szCs w:val="24"/>
        </w:rPr>
        <w:t>14.3.3</w:t>
      </w:r>
      <w:r>
        <w:rPr>
          <w:rFonts w:hAnsi="宋体" w:hint="eastAsia"/>
          <w:szCs w:val="24"/>
        </w:rPr>
        <w:t>公告：</w:t>
      </w:r>
      <w:proofErr w:type="gramStart"/>
      <w:r>
        <w:rPr>
          <w:rFonts w:hAnsi="宋体" w:hint="eastAsia"/>
          <w:szCs w:val="24"/>
        </w:rPr>
        <w:t>新任基金</w:t>
      </w:r>
      <w:proofErr w:type="gramEnd"/>
      <w:r>
        <w:rPr>
          <w:rFonts w:hAnsi="宋体" w:hint="eastAsia"/>
          <w:szCs w:val="24"/>
        </w:rPr>
        <w:t>管理人和</w:t>
      </w:r>
      <w:proofErr w:type="gramStart"/>
      <w:r>
        <w:rPr>
          <w:rFonts w:hAnsi="宋体" w:hint="eastAsia"/>
          <w:szCs w:val="24"/>
        </w:rPr>
        <w:t>新任基金</w:t>
      </w:r>
      <w:proofErr w:type="gramEnd"/>
      <w:r>
        <w:rPr>
          <w:rFonts w:hAnsi="宋体" w:hint="eastAsia"/>
          <w:szCs w:val="24"/>
        </w:rPr>
        <w:t>托管人应在更换基金管理人和基金托管人的基金份额持有人大会决议生效后按规定在规定媒介上联合公告。</w:t>
      </w:r>
    </w:p>
    <w:p w14:paraId="725C9358" w14:textId="77777777" w:rsidR="00E61384" w:rsidRDefault="0093607B">
      <w:pPr>
        <w:pStyle w:val="20"/>
        <w:spacing w:before="0" w:after="0" w:line="520" w:lineRule="exact"/>
        <w:ind w:left="0" w:firstLineChars="200" w:firstLine="480"/>
        <w:rPr>
          <w:bCs/>
        </w:rPr>
      </w:pPr>
      <w:r>
        <w:rPr>
          <w:rFonts w:hAnsi="宋体" w:hint="eastAsia"/>
          <w:szCs w:val="24"/>
        </w:rPr>
        <w:t>14.4</w:t>
      </w:r>
      <w:r>
        <w:rPr>
          <w:rFonts w:hAnsi="宋体" w:cs="宋体" w:hint="eastAsia"/>
          <w:kern w:val="0"/>
          <w:szCs w:val="24"/>
        </w:rPr>
        <w:t>新基金管理人或</w:t>
      </w:r>
      <w:r>
        <w:rPr>
          <w:rFonts w:hAnsi="宋体" w:cs="宋体"/>
          <w:kern w:val="0"/>
          <w:szCs w:val="24"/>
        </w:rPr>
        <w:t>临时基金管理人</w:t>
      </w:r>
      <w:r>
        <w:rPr>
          <w:rFonts w:hAnsi="宋体" w:cs="宋体" w:hint="eastAsia"/>
          <w:kern w:val="0"/>
          <w:szCs w:val="24"/>
        </w:rPr>
        <w:t>接收基金管理业务，或新基金托管人或</w:t>
      </w:r>
      <w:r>
        <w:rPr>
          <w:rFonts w:hAnsi="宋体" w:cs="宋体"/>
          <w:kern w:val="0"/>
          <w:szCs w:val="24"/>
        </w:rPr>
        <w:t>临时基金托管人</w:t>
      </w:r>
      <w:r>
        <w:rPr>
          <w:rFonts w:hAnsi="宋体" w:cs="宋体" w:hint="eastAsia"/>
          <w:kern w:val="0"/>
          <w:szCs w:val="24"/>
        </w:rPr>
        <w:t>接收基金财产和基金托管业务前，原</w:t>
      </w:r>
      <w:r w:rsidR="00CC4FBA" w:rsidRPr="00CC4FBA">
        <w:rPr>
          <w:rFonts w:hAnsi="宋体" w:cs="宋体" w:hint="eastAsia"/>
          <w:kern w:val="0"/>
          <w:szCs w:val="24"/>
        </w:rPr>
        <w:t>任</w:t>
      </w:r>
      <w:r>
        <w:rPr>
          <w:rFonts w:hAnsi="宋体" w:cs="宋体" w:hint="eastAsia"/>
          <w:kern w:val="0"/>
          <w:szCs w:val="24"/>
        </w:rPr>
        <w:t>基金管理人或原</w:t>
      </w:r>
      <w:r w:rsidR="00CC4FBA" w:rsidRPr="00CC4FBA">
        <w:rPr>
          <w:rFonts w:hAnsi="宋体" w:cs="宋体" w:hint="eastAsia"/>
          <w:kern w:val="0"/>
          <w:szCs w:val="24"/>
        </w:rPr>
        <w:t>任</w:t>
      </w:r>
      <w:r>
        <w:rPr>
          <w:rFonts w:hAnsi="宋体" w:cs="宋体" w:hint="eastAsia"/>
          <w:kern w:val="0"/>
          <w:szCs w:val="24"/>
        </w:rPr>
        <w:t>基金托管人应依据法律法规和基金合同的规定继续履行相关职责，并保证不做出对基金份额持有人的利益造成损害的行为。原</w:t>
      </w:r>
      <w:r w:rsidR="00CC4FBA" w:rsidRPr="00CC4FBA">
        <w:rPr>
          <w:rFonts w:hAnsi="宋体" w:cs="宋体" w:hint="eastAsia"/>
          <w:kern w:val="0"/>
          <w:szCs w:val="24"/>
        </w:rPr>
        <w:t>任</w:t>
      </w:r>
      <w:r>
        <w:rPr>
          <w:rFonts w:hAnsi="宋体" w:cs="宋体" w:hint="eastAsia"/>
          <w:kern w:val="0"/>
          <w:szCs w:val="24"/>
        </w:rPr>
        <w:t>基金管理人或原</w:t>
      </w:r>
      <w:r w:rsidR="00CC4FBA" w:rsidRPr="00CC4FBA">
        <w:rPr>
          <w:rFonts w:hAnsi="宋体" w:cs="宋体" w:hint="eastAsia"/>
          <w:kern w:val="0"/>
          <w:szCs w:val="24"/>
        </w:rPr>
        <w:t>任</w:t>
      </w:r>
      <w:r>
        <w:rPr>
          <w:rFonts w:hAnsi="宋体" w:cs="宋体" w:hint="eastAsia"/>
          <w:kern w:val="0"/>
          <w:szCs w:val="24"/>
        </w:rPr>
        <w:t>基金托管人在继续履行相关职责期间，仍有权按照基金合同的规定收取基金管理费或基金托管费。</w:t>
      </w:r>
    </w:p>
    <w:p w14:paraId="648D86E9" w14:textId="77777777" w:rsidR="00E61384" w:rsidRDefault="0093607B">
      <w:pPr>
        <w:pStyle w:val="20"/>
        <w:spacing w:before="0" w:after="0" w:line="520" w:lineRule="exact"/>
        <w:ind w:left="0" w:firstLineChars="200" w:firstLine="480"/>
        <w:rPr>
          <w:rFonts w:hAnsi="宋体"/>
          <w:szCs w:val="24"/>
        </w:rPr>
      </w:pPr>
      <w:r>
        <w:rPr>
          <w:rFonts w:hint="eastAsia"/>
          <w:bCs/>
        </w:rPr>
        <w:t>14.5</w:t>
      </w:r>
      <w:r>
        <w:rPr>
          <w:rFonts w:hAnsi="宋体" w:cs="宋体" w:hint="eastAsia"/>
          <w:kern w:val="0"/>
          <w:szCs w:val="24"/>
        </w:rPr>
        <w:t>本部</w:t>
      </w:r>
      <w:proofErr w:type="gramStart"/>
      <w:r>
        <w:rPr>
          <w:rFonts w:hAnsi="宋体" w:cs="宋体" w:hint="eastAsia"/>
          <w:kern w:val="0"/>
          <w:szCs w:val="24"/>
        </w:rPr>
        <w:t>分关于</w:t>
      </w:r>
      <w:proofErr w:type="gramEnd"/>
      <w:r>
        <w:rPr>
          <w:rFonts w:hAnsi="宋体" w:cs="宋体" w:hint="eastAsia"/>
          <w:kern w:val="0"/>
          <w:szCs w:val="24"/>
        </w:rPr>
        <w:t>基金管理人、基金托管人更换条件和程序的约定，凡是直接引用法律法规或监管规则的部分，如将来法律法规或监管规则修改导致相关内容被取消或变更的，基金管理人</w:t>
      </w:r>
      <w:r w:rsidR="00125096">
        <w:rPr>
          <w:rFonts w:hAnsi="宋体" w:cs="宋体" w:hint="eastAsia"/>
          <w:kern w:val="0"/>
          <w:szCs w:val="24"/>
        </w:rPr>
        <w:t>履行适当程序</w:t>
      </w:r>
      <w:r>
        <w:rPr>
          <w:rFonts w:hAnsi="宋体" w:cs="宋体" w:hint="eastAsia"/>
          <w:kern w:val="0"/>
          <w:szCs w:val="24"/>
        </w:rPr>
        <w:t>后，可直接对相应内容进行修改和调整，无需召开基金份额持有人大会审议。</w:t>
      </w:r>
    </w:p>
    <w:bookmarkEnd w:id="80"/>
    <w:bookmarkEnd w:id="81"/>
    <w:p w14:paraId="247D80DF" w14:textId="77777777" w:rsidR="00E61384" w:rsidRDefault="00E61384">
      <w:pPr>
        <w:pStyle w:val="20"/>
        <w:spacing w:before="0" w:after="0" w:line="520" w:lineRule="exact"/>
        <w:ind w:left="0" w:firstLineChars="200" w:firstLine="480"/>
        <w:rPr>
          <w:rFonts w:hAnsi="宋体"/>
          <w:szCs w:val="24"/>
        </w:rPr>
      </w:pPr>
    </w:p>
    <w:p w14:paraId="7DC5B7E2" w14:textId="77777777" w:rsidR="00E61384" w:rsidRDefault="0093607B">
      <w:pPr>
        <w:pStyle w:val="1"/>
        <w:spacing w:line="520" w:lineRule="exact"/>
        <w:ind w:firstLineChars="200" w:firstLine="482"/>
        <w:rPr>
          <w:bCs/>
          <w:color w:val="auto"/>
          <w:szCs w:val="24"/>
        </w:rPr>
      </w:pPr>
      <w:bookmarkStart w:id="82" w:name="_Toc4870338"/>
      <w:bookmarkStart w:id="83" w:name="_Toc142055719"/>
      <w:bookmarkStart w:id="84" w:name="_Toc296551351"/>
      <w:bookmarkStart w:id="85" w:name="_Toc10961"/>
      <w:r>
        <w:rPr>
          <w:rFonts w:hint="eastAsia"/>
          <w:bCs/>
          <w:color w:val="auto"/>
          <w:szCs w:val="24"/>
        </w:rPr>
        <w:t>第十五条 禁止行为</w:t>
      </w:r>
      <w:bookmarkEnd w:id="82"/>
      <w:bookmarkEnd w:id="83"/>
      <w:bookmarkEnd w:id="84"/>
      <w:bookmarkEnd w:id="85"/>
    </w:p>
    <w:p w14:paraId="252C673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15.1本协议当事人禁止从事的行为，包括但不限于：</w:t>
      </w:r>
    </w:p>
    <w:p w14:paraId="33817F0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15.1.1基金管理人、基金托管人将其固有财产或者他人财产混同于基金财产从事证券投资。</w:t>
      </w:r>
    </w:p>
    <w:p w14:paraId="09F310A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15.1.2基金管理人不公平地对待其管理的不同基金财产，基金托管人不公平地对待其托管的不同基金财产。</w:t>
      </w:r>
    </w:p>
    <w:p w14:paraId="4CD299B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15.1.3基金管理人、基金托管人利用基金财产或职务之便为基金份额持有人以外的第三人牟取利益。</w:t>
      </w:r>
    </w:p>
    <w:p w14:paraId="4660643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15.1.4基金管理人、基金托管人向基金份额持有人违规承诺收益或者承担损失。</w:t>
      </w:r>
    </w:p>
    <w:p w14:paraId="7AF15E2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15.1.5基金管理人、基金托管人对他人泄</w:t>
      </w:r>
      <w:r w:rsidR="00CC4FBA">
        <w:rPr>
          <w:rFonts w:hAnsi="宋体" w:hint="eastAsia"/>
          <w:szCs w:val="24"/>
        </w:rPr>
        <w:t>露</w:t>
      </w:r>
      <w:r>
        <w:rPr>
          <w:rFonts w:hAnsi="宋体" w:hint="eastAsia"/>
          <w:szCs w:val="24"/>
        </w:rPr>
        <w:t>基金运作和管理过程中任何尚未按法律法规规定的方式公开披露的信息。</w:t>
      </w:r>
    </w:p>
    <w:p w14:paraId="18B7008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15.1.6基金管理人在没有充足资金的情况下向基金托管人发出投资指令和赎回、分红资金的划拨指令，或违规向基金托管人发出指令。</w:t>
      </w:r>
    </w:p>
    <w:p w14:paraId="3F9AF6A8"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15.1.7基金管理人、基金托管人在行政上、财务上不独立，其高级管理人员和其他从业人员相互兼职。</w:t>
      </w:r>
    </w:p>
    <w:p w14:paraId="36F561C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15.1.8基金托管人私自动用或处分基金财产，根据基金管理人的合法指令、基金合同或托管协议的规定进行处分的除外。</w:t>
      </w:r>
    </w:p>
    <w:p w14:paraId="7EB5B5FB"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15.1.9基金财产用于下列投资或者活动：</w:t>
      </w:r>
    </w:p>
    <w:p w14:paraId="1C136D73" w14:textId="77777777" w:rsidR="00E61384" w:rsidRDefault="0093607B">
      <w:pPr>
        <w:pStyle w:val="20"/>
        <w:spacing w:line="520" w:lineRule="exact"/>
        <w:rPr>
          <w:rFonts w:hAnsi="宋体"/>
          <w:szCs w:val="24"/>
        </w:rPr>
      </w:pPr>
      <w:bookmarkStart w:id="86" w:name="_Hlk116239475"/>
      <w:r>
        <w:rPr>
          <w:rFonts w:hAnsi="宋体" w:hint="eastAsia"/>
          <w:szCs w:val="24"/>
        </w:rPr>
        <w:t>（1）承销证券；</w:t>
      </w:r>
    </w:p>
    <w:p w14:paraId="305A93A5" w14:textId="77777777" w:rsidR="00E61384" w:rsidRDefault="0093607B">
      <w:pPr>
        <w:pStyle w:val="20"/>
        <w:spacing w:line="520" w:lineRule="exact"/>
        <w:rPr>
          <w:rFonts w:hAnsi="宋体"/>
          <w:szCs w:val="24"/>
        </w:rPr>
      </w:pPr>
      <w:r>
        <w:rPr>
          <w:rFonts w:hAnsi="宋体" w:hint="eastAsia"/>
          <w:szCs w:val="24"/>
        </w:rPr>
        <w:t>（2）违反规定向他人贷款或者提供担保；</w:t>
      </w:r>
    </w:p>
    <w:p w14:paraId="1DDEE3A1" w14:textId="77777777" w:rsidR="00E61384" w:rsidRDefault="0093607B">
      <w:pPr>
        <w:pStyle w:val="20"/>
        <w:spacing w:line="520" w:lineRule="exact"/>
        <w:rPr>
          <w:rFonts w:hAnsi="宋体"/>
          <w:szCs w:val="24"/>
        </w:rPr>
      </w:pPr>
      <w:r>
        <w:rPr>
          <w:rFonts w:hAnsi="宋体" w:hint="eastAsia"/>
          <w:szCs w:val="24"/>
        </w:rPr>
        <w:t>（3）从事承担无限责任的投资；</w:t>
      </w:r>
    </w:p>
    <w:p w14:paraId="0ACF644B" w14:textId="77777777" w:rsidR="00E61384" w:rsidRDefault="0093607B">
      <w:pPr>
        <w:pStyle w:val="20"/>
        <w:spacing w:line="520" w:lineRule="exact"/>
        <w:rPr>
          <w:rFonts w:hAnsi="宋体"/>
          <w:szCs w:val="24"/>
        </w:rPr>
      </w:pPr>
      <w:r>
        <w:rPr>
          <w:rFonts w:hAnsi="宋体" w:hint="eastAsia"/>
          <w:szCs w:val="24"/>
        </w:rPr>
        <w:t>（4）买卖其他基金份额，但是中国证监会另有规定的除外；</w:t>
      </w:r>
    </w:p>
    <w:p w14:paraId="51474BB0" w14:textId="77777777" w:rsidR="00E61384" w:rsidRDefault="0093607B">
      <w:pPr>
        <w:pStyle w:val="20"/>
        <w:spacing w:line="520" w:lineRule="exact"/>
        <w:rPr>
          <w:rFonts w:hAnsi="宋体"/>
          <w:szCs w:val="24"/>
        </w:rPr>
      </w:pPr>
      <w:r>
        <w:rPr>
          <w:rFonts w:hAnsi="宋体" w:hint="eastAsia"/>
          <w:szCs w:val="24"/>
        </w:rPr>
        <w:t>（5）向其基金管理人、基金托管人出资；</w:t>
      </w:r>
    </w:p>
    <w:p w14:paraId="372F92DA" w14:textId="77777777" w:rsidR="00E61384" w:rsidRDefault="0093607B">
      <w:pPr>
        <w:pStyle w:val="20"/>
        <w:spacing w:line="520" w:lineRule="exact"/>
        <w:rPr>
          <w:rFonts w:hAnsi="宋体"/>
          <w:szCs w:val="24"/>
        </w:rPr>
      </w:pPr>
      <w:r>
        <w:rPr>
          <w:rFonts w:hAnsi="宋体" w:hint="eastAsia"/>
          <w:szCs w:val="24"/>
        </w:rPr>
        <w:t>（6）从事内幕交易、操纵证券交易价格及其他不正当的证券交易活动；</w:t>
      </w:r>
    </w:p>
    <w:p w14:paraId="37218EF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（7）法律、行政法规和中国证监会规定禁止的其他活动。</w:t>
      </w:r>
    </w:p>
    <w:bookmarkEnd w:id="86"/>
    <w:p w14:paraId="1D763E13"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15.1.10法律法规或监管部门取消</w:t>
      </w:r>
      <w:r>
        <w:rPr>
          <w:rFonts w:hint="eastAsia"/>
          <w:bCs/>
        </w:rPr>
        <w:t>或变更上述禁止性规定</w:t>
      </w:r>
      <w:r>
        <w:rPr>
          <w:bCs/>
        </w:rPr>
        <w:t>，</w:t>
      </w:r>
      <w:r>
        <w:rPr>
          <w:rFonts w:hint="eastAsia"/>
          <w:bCs/>
        </w:rPr>
        <w:t>如适用于本基金</w:t>
      </w:r>
      <w:r>
        <w:rPr>
          <w:rFonts w:hAnsi="宋体" w:hint="eastAsia"/>
          <w:szCs w:val="24"/>
        </w:rPr>
        <w:t>，基金管理人在履行适当程序后，</w:t>
      </w:r>
      <w:r>
        <w:rPr>
          <w:rFonts w:hint="eastAsia"/>
          <w:bCs/>
        </w:rPr>
        <w:t>可不受上述规定的限制或按变更后的规定执行</w:t>
      </w:r>
      <w:r>
        <w:rPr>
          <w:rFonts w:hAnsi="宋体" w:hint="eastAsia"/>
          <w:szCs w:val="24"/>
        </w:rPr>
        <w:t>。</w:t>
      </w:r>
    </w:p>
    <w:p w14:paraId="5C38160C" w14:textId="77777777" w:rsidR="00E61384" w:rsidRDefault="00E61384">
      <w:pPr>
        <w:pStyle w:val="20"/>
        <w:spacing w:before="0" w:after="0" w:line="520" w:lineRule="exact"/>
        <w:ind w:left="0" w:firstLineChars="200" w:firstLine="480"/>
        <w:rPr>
          <w:rFonts w:hAnsi="宋体"/>
          <w:szCs w:val="24"/>
        </w:rPr>
      </w:pPr>
    </w:p>
    <w:p w14:paraId="6EB2BE92" w14:textId="77777777" w:rsidR="00E61384" w:rsidRDefault="0093607B">
      <w:pPr>
        <w:pStyle w:val="1"/>
        <w:spacing w:line="520" w:lineRule="exact"/>
        <w:ind w:firstLineChars="200" w:firstLine="482"/>
        <w:rPr>
          <w:bCs/>
          <w:color w:val="auto"/>
          <w:szCs w:val="24"/>
        </w:rPr>
      </w:pPr>
      <w:bookmarkStart w:id="87" w:name="_Toc142055720"/>
      <w:bookmarkStart w:id="88" w:name="_Toc296551352"/>
      <w:bookmarkStart w:id="89" w:name="_Toc4870339"/>
      <w:bookmarkStart w:id="90" w:name="_Toc3733"/>
      <w:r>
        <w:rPr>
          <w:rFonts w:hint="eastAsia"/>
          <w:bCs/>
          <w:color w:val="auto"/>
          <w:szCs w:val="24"/>
        </w:rPr>
        <w:lastRenderedPageBreak/>
        <w:t>第十六条 基金托管协议的变更、终止与基金财产的清算</w:t>
      </w:r>
      <w:bookmarkEnd w:id="87"/>
      <w:bookmarkEnd w:id="88"/>
      <w:bookmarkEnd w:id="89"/>
      <w:bookmarkEnd w:id="90"/>
    </w:p>
    <w:p w14:paraId="5A45DCA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16.1托管协议的变更与终止</w:t>
      </w:r>
    </w:p>
    <w:p w14:paraId="452FB99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16.1.1托管协议的变更程序</w:t>
      </w:r>
    </w:p>
    <w:p w14:paraId="52EF4FB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本协议双方当事人经协商一致，经履行适当程序后，可以对协议的内容进行变更。变更后的托管协议，其内容不得与基金合同的规定有任何冲突。</w:t>
      </w:r>
    </w:p>
    <w:p w14:paraId="41D1D701" w14:textId="77777777" w:rsidR="00E61384" w:rsidRDefault="0093607B">
      <w:pPr>
        <w:pStyle w:val="20"/>
        <w:spacing w:before="0" w:after="0" w:line="520" w:lineRule="exact"/>
        <w:ind w:left="0" w:firstLineChars="200" w:firstLine="480"/>
        <w:rPr>
          <w:rFonts w:hAnsi="宋体"/>
          <w:szCs w:val="24"/>
        </w:rPr>
      </w:pPr>
      <w:bookmarkStart w:id="91" w:name="_Hlk204885689"/>
      <w:r>
        <w:rPr>
          <w:rFonts w:hAnsi="宋体" w:hint="eastAsia"/>
          <w:szCs w:val="24"/>
        </w:rPr>
        <w:t>16.1.2基金托管协议终止的情形</w:t>
      </w:r>
    </w:p>
    <w:p w14:paraId="2A320BB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发生以下情况，本托管协议终止：</w:t>
      </w:r>
    </w:p>
    <w:p w14:paraId="5CF7665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（1）基金合同终止；</w:t>
      </w:r>
    </w:p>
    <w:p w14:paraId="1A1DAD5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（2）基金托管人解散、依法被撤销、破产或由其他基金托管人接管基金资产；</w:t>
      </w:r>
    </w:p>
    <w:p w14:paraId="7F8F89A4"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（3）基金管理人解散、依法被撤销、破产或由其他基金管理人接管基金管理权；</w:t>
      </w:r>
    </w:p>
    <w:p w14:paraId="40A04AC5"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（4）发生法律法规或基金合同规定的终止事项。</w:t>
      </w:r>
    </w:p>
    <w:p w14:paraId="60613A83" w14:textId="77777777" w:rsidR="00E61384" w:rsidRDefault="0093607B">
      <w:pPr>
        <w:pStyle w:val="20"/>
        <w:spacing w:before="0" w:after="0" w:line="520" w:lineRule="exact"/>
        <w:ind w:left="0" w:firstLineChars="200" w:firstLine="480"/>
        <w:rPr>
          <w:rFonts w:hAnsi="宋体"/>
          <w:szCs w:val="24"/>
        </w:rPr>
      </w:pPr>
      <w:bookmarkStart w:id="92" w:name="_Hlk116239596"/>
      <w:r>
        <w:rPr>
          <w:rFonts w:hAnsi="宋体" w:hint="eastAsia"/>
          <w:szCs w:val="24"/>
        </w:rPr>
        <w:t>16.2基金财产的清算</w:t>
      </w:r>
    </w:p>
    <w:p w14:paraId="0D0E905B" w14:textId="77777777" w:rsidR="00E61384" w:rsidRDefault="0093607B">
      <w:pPr>
        <w:pStyle w:val="20"/>
        <w:spacing w:line="520" w:lineRule="exact"/>
        <w:ind w:firstLineChars="200" w:firstLine="480"/>
        <w:rPr>
          <w:rFonts w:hAnsi="宋体"/>
          <w:szCs w:val="24"/>
        </w:rPr>
      </w:pPr>
      <w:r>
        <w:rPr>
          <w:rFonts w:hAnsi="宋体" w:hint="eastAsia"/>
          <w:szCs w:val="24"/>
        </w:rPr>
        <w:t>16.2.1基金财产清算小组：自出现基金合同终止事由之日起30个工作日内成立清算小组，基金管理人组织基金财产清算小组并在中国证监会的监督下进行基金清算。</w:t>
      </w:r>
    </w:p>
    <w:p w14:paraId="02C4A198" w14:textId="77777777" w:rsidR="00E61384" w:rsidRDefault="0093607B">
      <w:pPr>
        <w:pStyle w:val="20"/>
        <w:spacing w:line="520" w:lineRule="exact"/>
        <w:ind w:firstLineChars="200" w:firstLine="480"/>
        <w:rPr>
          <w:rFonts w:hAnsi="宋体"/>
          <w:szCs w:val="24"/>
        </w:rPr>
      </w:pPr>
      <w:r>
        <w:rPr>
          <w:rFonts w:hAnsi="宋体" w:hint="eastAsia"/>
          <w:szCs w:val="24"/>
        </w:rPr>
        <w:t>16.2.2在基金财产清算小组接管基金财产之前，基金管理人和基金托管人应按照《基金合同》和托管协议的规定继续履行保护基金财产安全的职责。</w:t>
      </w:r>
    </w:p>
    <w:p w14:paraId="4C77EFFA" w14:textId="77777777" w:rsidR="00E61384" w:rsidRDefault="0093607B">
      <w:pPr>
        <w:pStyle w:val="20"/>
        <w:spacing w:line="520" w:lineRule="exact"/>
        <w:ind w:firstLineChars="200" w:firstLine="480"/>
        <w:rPr>
          <w:rFonts w:hAnsi="宋体"/>
          <w:szCs w:val="24"/>
        </w:rPr>
      </w:pPr>
      <w:r>
        <w:rPr>
          <w:rFonts w:hAnsi="宋体" w:hint="eastAsia"/>
          <w:szCs w:val="24"/>
        </w:rPr>
        <w:t>16.2.3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303E26A9" w14:textId="77777777" w:rsidR="00E61384" w:rsidRDefault="0093607B">
      <w:pPr>
        <w:pStyle w:val="20"/>
        <w:spacing w:line="520" w:lineRule="exact"/>
        <w:ind w:firstLineChars="200" w:firstLine="480"/>
        <w:rPr>
          <w:rFonts w:hAnsi="宋体"/>
          <w:szCs w:val="24"/>
        </w:rPr>
      </w:pPr>
      <w:r>
        <w:rPr>
          <w:rFonts w:hint="eastAsia"/>
          <w:szCs w:val="21"/>
        </w:rPr>
        <w:t>16.2.4</w:t>
      </w:r>
      <w:r>
        <w:rPr>
          <w:szCs w:val="21"/>
        </w:rPr>
        <w:t>在基金财产清算过程中，基金管理人和基金托管人应各自履行职责，继续忠实、勤勉、尽责地履行基金合同和托管协议规定的义务，维护基金份额持有人的合法权益。</w:t>
      </w:r>
    </w:p>
    <w:p w14:paraId="5B5DEDE5" w14:textId="77777777" w:rsidR="00E61384" w:rsidRDefault="0093607B">
      <w:pPr>
        <w:pStyle w:val="20"/>
        <w:spacing w:line="520" w:lineRule="exact"/>
        <w:ind w:firstLineChars="200" w:firstLine="480"/>
        <w:rPr>
          <w:rFonts w:hAnsi="宋体"/>
          <w:szCs w:val="24"/>
        </w:rPr>
      </w:pPr>
      <w:r>
        <w:rPr>
          <w:rFonts w:hAnsi="宋体" w:hint="eastAsia"/>
          <w:szCs w:val="24"/>
        </w:rPr>
        <w:t>16.2.5基金财产清算小组职责：基金财产清算小组负责基金财产的保管、清理、估价、变现和分配。基金财产清算小组可以依法进行必要的民事活动。</w:t>
      </w:r>
    </w:p>
    <w:p w14:paraId="3D7C557D" w14:textId="77777777" w:rsidR="00E61384" w:rsidRDefault="0093607B">
      <w:pPr>
        <w:pStyle w:val="20"/>
        <w:spacing w:line="520" w:lineRule="exact"/>
        <w:ind w:firstLineChars="200" w:firstLine="480"/>
        <w:rPr>
          <w:rFonts w:hAnsi="宋体"/>
          <w:szCs w:val="24"/>
        </w:rPr>
      </w:pPr>
      <w:r>
        <w:rPr>
          <w:rFonts w:hAnsi="宋体" w:hint="eastAsia"/>
          <w:szCs w:val="24"/>
        </w:rPr>
        <w:lastRenderedPageBreak/>
        <w:t>16.2.5基金财产清算程序</w:t>
      </w:r>
    </w:p>
    <w:p w14:paraId="65E87A71" w14:textId="77777777" w:rsidR="00E61384" w:rsidRDefault="0093607B">
      <w:pPr>
        <w:pStyle w:val="20"/>
        <w:spacing w:line="520" w:lineRule="exact"/>
        <w:ind w:firstLineChars="200" w:firstLine="480"/>
        <w:rPr>
          <w:rFonts w:hAnsi="宋体"/>
          <w:szCs w:val="24"/>
        </w:rPr>
      </w:pPr>
      <w:r>
        <w:rPr>
          <w:rFonts w:hAnsi="宋体" w:hint="eastAsia"/>
          <w:szCs w:val="24"/>
        </w:rPr>
        <w:t>（1）《基金合同》终止情形出现时，由基金财产清算小组统一接管基金财产；</w:t>
      </w:r>
    </w:p>
    <w:p w14:paraId="22AE3FAF" w14:textId="77777777" w:rsidR="00E61384" w:rsidRDefault="0093607B">
      <w:pPr>
        <w:pStyle w:val="20"/>
        <w:spacing w:line="520" w:lineRule="exact"/>
        <w:ind w:firstLineChars="200" w:firstLine="480"/>
        <w:rPr>
          <w:rFonts w:hAnsi="宋体"/>
          <w:szCs w:val="24"/>
        </w:rPr>
      </w:pPr>
      <w:r>
        <w:rPr>
          <w:rFonts w:hAnsi="宋体" w:hint="eastAsia"/>
          <w:szCs w:val="24"/>
        </w:rPr>
        <w:t>（2）对基金财产和债权债务进行清理和确认；</w:t>
      </w:r>
    </w:p>
    <w:p w14:paraId="11CDCF01" w14:textId="77777777" w:rsidR="00E61384" w:rsidRDefault="0093607B">
      <w:pPr>
        <w:pStyle w:val="20"/>
        <w:spacing w:line="520" w:lineRule="exact"/>
        <w:ind w:firstLineChars="200" w:firstLine="480"/>
        <w:rPr>
          <w:rFonts w:hAnsi="宋体"/>
          <w:szCs w:val="24"/>
        </w:rPr>
      </w:pPr>
      <w:r>
        <w:rPr>
          <w:rFonts w:hAnsi="宋体" w:hint="eastAsia"/>
          <w:szCs w:val="24"/>
        </w:rPr>
        <w:t>（3）对基金财产进行估值和变现；</w:t>
      </w:r>
    </w:p>
    <w:p w14:paraId="1F8B1635" w14:textId="77777777" w:rsidR="00E61384" w:rsidRDefault="0093607B">
      <w:pPr>
        <w:pStyle w:val="20"/>
        <w:spacing w:line="520" w:lineRule="exact"/>
        <w:ind w:firstLineChars="200" w:firstLine="480"/>
        <w:rPr>
          <w:rFonts w:hAnsi="宋体"/>
          <w:szCs w:val="24"/>
        </w:rPr>
      </w:pPr>
      <w:r>
        <w:rPr>
          <w:rFonts w:hAnsi="宋体" w:hint="eastAsia"/>
          <w:szCs w:val="24"/>
        </w:rPr>
        <w:t>（4）制作清算报告；</w:t>
      </w:r>
    </w:p>
    <w:p w14:paraId="35DFB59D" w14:textId="77777777" w:rsidR="00E61384" w:rsidRDefault="0093607B">
      <w:pPr>
        <w:pStyle w:val="20"/>
        <w:spacing w:line="520" w:lineRule="exact"/>
        <w:ind w:firstLineChars="200" w:firstLine="480"/>
        <w:rPr>
          <w:rFonts w:hAnsi="宋体"/>
          <w:szCs w:val="24"/>
        </w:rPr>
      </w:pPr>
      <w:r>
        <w:rPr>
          <w:rFonts w:hAnsi="宋体" w:hint="eastAsia"/>
          <w:szCs w:val="24"/>
        </w:rPr>
        <w:t>（5）聘请会计师事务所对清算报告进行外部审计，聘请律师事务所对清算报告出具法律意见书；</w:t>
      </w:r>
    </w:p>
    <w:p w14:paraId="62471103" w14:textId="77777777" w:rsidR="00E61384" w:rsidRDefault="0093607B">
      <w:pPr>
        <w:pStyle w:val="20"/>
        <w:spacing w:line="520" w:lineRule="exact"/>
        <w:ind w:firstLineChars="200" w:firstLine="480"/>
        <w:rPr>
          <w:rFonts w:hAnsi="宋体"/>
          <w:szCs w:val="24"/>
        </w:rPr>
      </w:pPr>
      <w:r>
        <w:rPr>
          <w:rFonts w:hAnsi="宋体" w:hint="eastAsia"/>
          <w:szCs w:val="24"/>
        </w:rPr>
        <w:t>（6）将清算报告报中国证监会备案并公告；</w:t>
      </w:r>
    </w:p>
    <w:p w14:paraId="5B649D25" w14:textId="77777777" w:rsidR="00E61384" w:rsidRDefault="0093607B">
      <w:pPr>
        <w:pStyle w:val="20"/>
        <w:spacing w:line="520" w:lineRule="exact"/>
        <w:ind w:firstLineChars="200" w:firstLine="480"/>
        <w:rPr>
          <w:rFonts w:hAnsi="宋体"/>
          <w:szCs w:val="24"/>
        </w:rPr>
      </w:pPr>
      <w:r>
        <w:rPr>
          <w:rFonts w:hAnsi="宋体" w:hint="eastAsia"/>
          <w:szCs w:val="24"/>
        </w:rPr>
        <w:t>（7）对基金剩余财产进行分配。</w:t>
      </w:r>
    </w:p>
    <w:p w14:paraId="3DED745A" w14:textId="77777777" w:rsidR="00E61384" w:rsidRDefault="0093607B">
      <w:pPr>
        <w:pStyle w:val="20"/>
        <w:spacing w:line="520" w:lineRule="exact"/>
        <w:ind w:firstLineChars="200" w:firstLine="480"/>
        <w:rPr>
          <w:rFonts w:hAnsi="宋体"/>
          <w:szCs w:val="24"/>
        </w:rPr>
      </w:pPr>
      <w:r>
        <w:rPr>
          <w:rFonts w:hAnsi="宋体" w:hint="eastAsia"/>
          <w:szCs w:val="24"/>
        </w:rPr>
        <w:t>基金财产清算的期限为6个月，但因本基金所持证券的流动性受到限制而不能及时变现的，清算期限相应顺延。</w:t>
      </w:r>
    </w:p>
    <w:p w14:paraId="5995675A" w14:textId="77777777" w:rsidR="00E61384" w:rsidRDefault="0093607B">
      <w:pPr>
        <w:pStyle w:val="20"/>
        <w:spacing w:line="520" w:lineRule="exact"/>
        <w:ind w:firstLineChars="200" w:firstLine="480"/>
        <w:rPr>
          <w:rFonts w:hAnsi="宋体"/>
          <w:szCs w:val="24"/>
        </w:rPr>
      </w:pPr>
      <w:r>
        <w:rPr>
          <w:rFonts w:hAnsi="宋体" w:hint="eastAsia"/>
          <w:szCs w:val="24"/>
        </w:rPr>
        <w:t>16.2.</w:t>
      </w:r>
      <w:r>
        <w:rPr>
          <w:rFonts w:hAnsi="宋体"/>
          <w:szCs w:val="24"/>
        </w:rPr>
        <w:t>6</w:t>
      </w:r>
      <w:r>
        <w:rPr>
          <w:rFonts w:hAnsi="宋体" w:hint="eastAsia"/>
          <w:szCs w:val="24"/>
        </w:rPr>
        <w:t>清算费用</w:t>
      </w:r>
    </w:p>
    <w:p w14:paraId="53AACC8C" w14:textId="77777777" w:rsidR="00E61384" w:rsidRDefault="0093607B">
      <w:pPr>
        <w:pStyle w:val="20"/>
        <w:spacing w:line="520" w:lineRule="exact"/>
        <w:ind w:firstLineChars="200" w:firstLine="480"/>
        <w:rPr>
          <w:rFonts w:hAnsi="宋体"/>
          <w:szCs w:val="24"/>
        </w:rPr>
      </w:pPr>
      <w:r>
        <w:rPr>
          <w:rFonts w:hAnsi="宋体" w:hint="eastAsia"/>
          <w:szCs w:val="24"/>
        </w:rPr>
        <w:t>清算费用是指基金财产清算小组在进行基金清算过程中发生的所有合理费用，清算费用由基金财产清算小组优先从基金剩余财产中支付。</w:t>
      </w:r>
    </w:p>
    <w:p w14:paraId="5A76036E" w14:textId="77777777" w:rsidR="00E61384" w:rsidRDefault="0093607B">
      <w:pPr>
        <w:pStyle w:val="20"/>
        <w:spacing w:line="520" w:lineRule="exact"/>
        <w:ind w:firstLineChars="200" w:firstLine="480"/>
        <w:rPr>
          <w:rFonts w:hAnsi="宋体"/>
          <w:szCs w:val="24"/>
        </w:rPr>
      </w:pPr>
      <w:r>
        <w:rPr>
          <w:rFonts w:hAnsi="宋体" w:hint="eastAsia"/>
          <w:szCs w:val="24"/>
        </w:rPr>
        <w:t>16.2.</w:t>
      </w:r>
      <w:r>
        <w:rPr>
          <w:rFonts w:hAnsi="宋体"/>
          <w:szCs w:val="24"/>
        </w:rPr>
        <w:t>7</w:t>
      </w:r>
      <w:r>
        <w:rPr>
          <w:rFonts w:hAnsi="宋体" w:hint="eastAsia"/>
          <w:szCs w:val="24"/>
        </w:rPr>
        <w:t>基金财产清算剩余资产的分配</w:t>
      </w:r>
    </w:p>
    <w:p w14:paraId="7C6E745D" w14:textId="77777777" w:rsidR="00E61384" w:rsidRDefault="0093607B">
      <w:pPr>
        <w:pStyle w:val="20"/>
        <w:spacing w:line="520" w:lineRule="exact"/>
        <w:ind w:firstLineChars="200" w:firstLine="480"/>
        <w:rPr>
          <w:rFonts w:hAnsi="宋体"/>
          <w:szCs w:val="24"/>
        </w:rPr>
      </w:pPr>
      <w:r>
        <w:rPr>
          <w:rFonts w:hAnsi="宋体" w:hint="eastAsia"/>
          <w:szCs w:val="24"/>
        </w:rPr>
        <w:t>依据基金财产清算的分配方案，将基金财产清算后的全部剩余资产扣除基金财产清算费用、交纳所欠税款并清偿基金债务后，按基金份额持有人持有的各类基金份额比例进行分配。</w:t>
      </w:r>
    </w:p>
    <w:p w14:paraId="34731915" w14:textId="77777777" w:rsidR="00E61384" w:rsidRDefault="0093607B">
      <w:pPr>
        <w:pStyle w:val="20"/>
        <w:spacing w:line="520" w:lineRule="exact"/>
        <w:ind w:firstLineChars="200" w:firstLine="480"/>
        <w:rPr>
          <w:rFonts w:hAnsi="宋体"/>
          <w:szCs w:val="24"/>
        </w:rPr>
      </w:pPr>
      <w:r>
        <w:rPr>
          <w:rFonts w:hAnsi="宋体" w:hint="eastAsia"/>
          <w:szCs w:val="24"/>
        </w:rPr>
        <w:t>16.2.</w:t>
      </w:r>
      <w:r>
        <w:rPr>
          <w:rFonts w:hAnsi="宋体"/>
          <w:szCs w:val="24"/>
        </w:rPr>
        <w:t>8</w:t>
      </w:r>
      <w:r>
        <w:rPr>
          <w:rFonts w:hAnsi="宋体" w:hint="eastAsia"/>
          <w:szCs w:val="24"/>
        </w:rPr>
        <w:t>基金财产清算的公告</w:t>
      </w:r>
    </w:p>
    <w:p w14:paraId="3E9619DD" w14:textId="77777777" w:rsidR="00E61384" w:rsidRDefault="0093607B">
      <w:pPr>
        <w:pStyle w:val="20"/>
        <w:spacing w:line="520" w:lineRule="exact"/>
        <w:ind w:firstLineChars="200" w:firstLine="480"/>
        <w:rPr>
          <w:rFonts w:hAnsi="宋体"/>
          <w:szCs w:val="24"/>
        </w:rPr>
      </w:pPr>
      <w:r>
        <w:rPr>
          <w:rFonts w:hAnsi="宋体" w:hint="eastAsia"/>
          <w:szCs w:val="24"/>
        </w:rPr>
        <w:t>清算过程中的有关重大事项须及时公告；基金财产清算报告</w:t>
      </w:r>
      <w:proofErr w:type="gramStart"/>
      <w:r>
        <w:rPr>
          <w:rFonts w:hAnsi="宋体" w:hint="eastAsia"/>
          <w:szCs w:val="24"/>
        </w:rPr>
        <w:t>经符合</w:t>
      </w:r>
      <w:proofErr w:type="gramEnd"/>
      <w:r>
        <w:rPr>
          <w:rFonts w:hAnsi="宋体" w:hint="eastAsia"/>
          <w:szCs w:val="24"/>
        </w:rPr>
        <w:t>《中华人民共和国证券法》规定的会计师事务所审计并由律师事务所出具法律意见书后</w:t>
      </w:r>
      <w:r w:rsidR="00125096">
        <w:rPr>
          <w:rFonts w:hAnsi="宋体" w:hint="eastAsia"/>
          <w:szCs w:val="24"/>
        </w:rPr>
        <w:t>，</w:t>
      </w:r>
      <w:r w:rsidR="00125096" w:rsidRPr="00125096">
        <w:rPr>
          <w:rFonts w:hAnsi="宋体" w:hint="eastAsia"/>
          <w:szCs w:val="24"/>
        </w:rPr>
        <w:t>由基金财产清算小组报中国证监会备案并公告，基金财产清算小组应当将清算报告登载在规定网站上，并将清算报告提示性公告登载在规定报刊上</w:t>
      </w:r>
      <w:r>
        <w:rPr>
          <w:rFonts w:hAnsi="宋体" w:hint="eastAsia"/>
          <w:szCs w:val="24"/>
        </w:rPr>
        <w:t>。</w:t>
      </w:r>
    </w:p>
    <w:p w14:paraId="1F6B07F5" w14:textId="77777777" w:rsidR="00E61384" w:rsidRDefault="0093607B">
      <w:pPr>
        <w:pStyle w:val="20"/>
        <w:spacing w:line="520" w:lineRule="exact"/>
        <w:ind w:firstLineChars="200" w:firstLine="480"/>
        <w:rPr>
          <w:rFonts w:hAnsi="宋体"/>
          <w:szCs w:val="24"/>
        </w:rPr>
      </w:pPr>
      <w:r>
        <w:rPr>
          <w:rFonts w:hAnsi="宋体" w:hint="eastAsia"/>
          <w:szCs w:val="24"/>
        </w:rPr>
        <w:t>16.2.</w:t>
      </w:r>
      <w:r>
        <w:rPr>
          <w:rFonts w:hAnsi="宋体"/>
          <w:szCs w:val="24"/>
        </w:rPr>
        <w:t>9</w:t>
      </w:r>
      <w:r>
        <w:rPr>
          <w:rFonts w:hAnsi="宋体" w:hint="eastAsia"/>
          <w:szCs w:val="24"/>
        </w:rPr>
        <w:t>基金财产清算账册及文件的保存</w:t>
      </w:r>
    </w:p>
    <w:p w14:paraId="681CFF38" w14:textId="77777777" w:rsidR="00E61384" w:rsidRDefault="0093607B">
      <w:pPr>
        <w:pStyle w:val="20"/>
        <w:spacing w:line="520" w:lineRule="exact"/>
        <w:ind w:firstLineChars="200" w:firstLine="480"/>
        <w:rPr>
          <w:rFonts w:hAnsi="宋体"/>
          <w:szCs w:val="24"/>
        </w:rPr>
      </w:pPr>
      <w:r>
        <w:rPr>
          <w:rFonts w:hAnsi="宋体" w:hint="eastAsia"/>
          <w:szCs w:val="24"/>
        </w:rPr>
        <w:lastRenderedPageBreak/>
        <w:t>基金财产清算账册及有关文件由基金托管人保存，保存期限不低于法律法规规定的最低期限。</w:t>
      </w:r>
    </w:p>
    <w:p w14:paraId="3B77F08B" w14:textId="77777777" w:rsidR="00E61384" w:rsidRDefault="00E61384">
      <w:pPr>
        <w:pStyle w:val="20"/>
        <w:spacing w:before="0" w:after="0" w:line="520" w:lineRule="exact"/>
        <w:ind w:left="0" w:firstLineChars="200" w:firstLine="480"/>
        <w:rPr>
          <w:rFonts w:hAnsi="宋体"/>
          <w:szCs w:val="24"/>
        </w:rPr>
      </w:pPr>
      <w:bookmarkStart w:id="93" w:name="_Toc296551353"/>
    </w:p>
    <w:p w14:paraId="0353DF3D" w14:textId="77777777" w:rsidR="00E61384" w:rsidRDefault="0093607B">
      <w:pPr>
        <w:pStyle w:val="1"/>
        <w:spacing w:line="520" w:lineRule="exact"/>
        <w:ind w:firstLineChars="200" w:firstLine="482"/>
        <w:rPr>
          <w:bCs/>
          <w:color w:val="auto"/>
          <w:szCs w:val="24"/>
        </w:rPr>
      </w:pPr>
      <w:bookmarkStart w:id="94" w:name="_Toc142055721"/>
      <w:bookmarkStart w:id="95" w:name="_Toc1340"/>
      <w:bookmarkStart w:id="96" w:name="_Toc4870340"/>
      <w:bookmarkEnd w:id="91"/>
      <w:bookmarkEnd w:id="92"/>
      <w:r>
        <w:rPr>
          <w:rFonts w:hint="eastAsia"/>
          <w:bCs/>
          <w:color w:val="auto"/>
          <w:szCs w:val="24"/>
        </w:rPr>
        <w:t>第十七条 违约责任</w:t>
      </w:r>
      <w:bookmarkEnd w:id="93"/>
      <w:bookmarkEnd w:id="94"/>
      <w:bookmarkEnd w:id="95"/>
      <w:bookmarkEnd w:id="96"/>
    </w:p>
    <w:p w14:paraId="43A7D95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17.1如果基金管理人或基金托管人不履行本托管协议或者履行本托管协议不符合约定的，应当承担违约责任。</w:t>
      </w:r>
    </w:p>
    <w:p w14:paraId="194A931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17.2因托管协议当事人违约</w:t>
      </w:r>
      <w:bookmarkStart w:id="97" w:name="_Hlk116239716"/>
      <w:r>
        <w:rPr>
          <w:rFonts w:hAnsi="宋体" w:hint="eastAsia"/>
          <w:szCs w:val="24"/>
        </w:rPr>
        <w:t>给基金财产或者基金份额持有人造成损害的，应当分别对各自的行为依法承担赔偿责任，因共同行为给基金财产或者基金份额持有人造成损害的，应当承担连带赔偿责任。</w:t>
      </w:r>
      <w:r>
        <w:rPr>
          <w:bCs/>
        </w:rPr>
        <w:t>对损失的赔偿，仅限于直接损失</w:t>
      </w:r>
      <w:bookmarkStart w:id="98" w:name="_Hlk116239726"/>
      <w:bookmarkEnd w:id="97"/>
      <w:r>
        <w:rPr>
          <w:rFonts w:hint="eastAsia"/>
          <w:bCs/>
        </w:rPr>
        <w:t>。</w:t>
      </w:r>
      <w:r>
        <w:rPr>
          <w:rFonts w:hAnsi="宋体" w:hint="eastAsia"/>
          <w:szCs w:val="24"/>
        </w:rPr>
        <w:t>但是发生下列情况的，当事人可以免责：</w:t>
      </w:r>
    </w:p>
    <w:p w14:paraId="5CF99CB7"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（1）不可抗力；</w:t>
      </w:r>
    </w:p>
    <w:p w14:paraId="6EFDFDA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（2）基金管理人</w:t>
      </w:r>
      <w:r>
        <w:rPr>
          <w:rFonts w:hint="eastAsia"/>
          <w:bCs/>
        </w:rPr>
        <w:t>和/或</w:t>
      </w:r>
      <w:r>
        <w:rPr>
          <w:rFonts w:hAnsi="宋体" w:hint="eastAsia"/>
          <w:szCs w:val="24"/>
        </w:rPr>
        <w:t>基金托管人按照</w:t>
      </w:r>
      <w:r>
        <w:rPr>
          <w:rFonts w:hint="eastAsia"/>
          <w:bCs/>
        </w:rPr>
        <w:t>当时</w:t>
      </w:r>
      <w:r>
        <w:rPr>
          <w:rFonts w:hAnsi="宋体" w:hint="eastAsia"/>
          <w:szCs w:val="24"/>
        </w:rPr>
        <w:t>有效的法律法规</w:t>
      </w:r>
      <w:r>
        <w:rPr>
          <w:rFonts w:hint="eastAsia"/>
          <w:bCs/>
        </w:rPr>
        <w:t>、规章、市场交易规则</w:t>
      </w:r>
      <w:r>
        <w:rPr>
          <w:rFonts w:hAnsi="宋体" w:hint="eastAsia"/>
          <w:szCs w:val="24"/>
        </w:rPr>
        <w:t>或中国证监会</w:t>
      </w:r>
      <w:r>
        <w:rPr>
          <w:rFonts w:hint="eastAsia"/>
          <w:bCs/>
        </w:rPr>
        <w:t>、银行业监督管理机构等监管机构</w:t>
      </w:r>
      <w:r>
        <w:rPr>
          <w:rFonts w:hAnsi="宋体" w:hint="eastAsia"/>
          <w:szCs w:val="24"/>
        </w:rPr>
        <w:t>的规定作为或不作为而造成的损失等；</w:t>
      </w:r>
    </w:p>
    <w:p w14:paraId="20F811E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（3）基金管理人由于按照基金合同规定的投资原则</w:t>
      </w:r>
      <w:r>
        <w:rPr>
          <w:rFonts w:hint="eastAsia"/>
          <w:bCs/>
        </w:rPr>
        <w:t>行使或不行使其投资权</w:t>
      </w:r>
      <w:r>
        <w:rPr>
          <w:rFonts w:hAnsi="宋体" w:hint="eastAsia"/>
          <w:szCs w:val="24"/>
        </w:rPr>
        <w:t>而造成的损失等。</w:t>
      </w:r>
    </w:p>
    <w:bookmarkEnd w:id="98"/>
    <w:p w14:paraId="67D4CED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17.3如果由于本协议一方当事人（以下简称“违约方”）的违约行为给基金财产或基金投资人造成损失，另一方当事人（以下简称“非违约方”）有权利并且有义务代表基金对违约方进行追偿；如果由于违约方的违约行为导致非违约方赔偿了该基金财产或基金投资人所遭受的损失，则非违约方有权向违约方追索，违约方应赔偿和</w:t>
      </w:r>
      <w:proofErr w:type="gramStart"/>
      <w:r>
        <w:rPr>
          <w:rFonts w:hAnsi="宋体" w:hint="eastAsia"/>
          <w:szCs w:val="24"/>
        </w:rPr>
        <w:t>补偿非</w:t>
      </w:r>
      <w:proofErr w:type="gramEnd"/>
      <w:r>
        <w:rPr>
          <w:rFonts w:hAnsi="宋体" w:hint="eastAsia"/>
          <w:szCs w:val="24"/>
        </w:rPr>
        <w:t>违约方由此发生的所有成本、费用和支出，以及由此遭受的损失。</w:t>
      </w:r>
    </w:p>
    <w:p w14:paraId="6A0F35B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17.4当事人一方违约，</w:t>
      </w:r>
      <w:bookmarkStart w:id="99" w:name="_Hlk116239822"/>
      <w:r>
        <w:rPr>
          <w:rFonts w:hAnsi="宋体" w:hint="eastAsia"/>
          <w:szCs w:val="24"/>
        </w:rPr>
        <w:t>非违约方当事人在职责范围内有义务及时采取必要的措施，防止损失的扩大。没有采取适当措施致使损失进一步扩大的，不得就扩大的损失要求赔偿。非违约方因防止损失扩大而支出的合理费用由违约方承担。</w:t>
      </w:r>
    </w:p>
    <w:bookmarkEnd w:id="99"/>
    <w:p w14:paraId="648B9440"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17.5违约行为虽已发生，但本托管协议能够继续履行的，在最大限度地保护基金份额持有人利益的前提下，基金管理人和基金托管人应当继续履行本协议。</w:t>
      </w:r>
    </w:p>
    <w:p w14:paraId="59C349FE"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lastRenderedPageBreak/>
        <w:t>17.6</w:t>
      </w:r>
      <w:bookmarkStart w:id="100" w:name="_Hlk116239825"/>
      <w:r>
        <w:rPr>
          <w:rFonts w:hAnsi="宋体" w:hint="eastAsia"/>
          <w:szCs w:val="24"/>
        </w:rPr>
        <w:t>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造成的影响。</w:t>
      </w:r>
    </w:p>
    <w:bookmarkEnd w:id="100"/>
    <w:p w14:paraId="33FA80F2"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17.7本协议所指损失均为直接损失。</w:t>
      </w:r>
    </w:p>
    <w:p w14:paraId="2C319E6E" w14:textId="77777777" w:rsidR="00E61384" w:rsidRDefault="00E61384">
      <w:pPr>
        <w:pStyle w:val="20"/>
        <w:spacing w:before="0" w:after="0" w:line="360" w:lineRule="auto"/>
        <w:ind w:left="0" w:firstLineChars="200" w:firstLine="480"/>
        <w:rPr>
          <w:rFonts w:hAnsi="宋体"/>
          <w:szCs w:val="24"/>
        </w:rPr>
      </w:pPr>
    </w:p>
    <w:p w14:paraId="0697A5A0" w14:textId="77777777" w:rsidR="00E61384" w:rsidRDefault="0093607B">
      <w:pPr>
        <w:pStyle w:val="1"/>
        <w:ind w:firstLineChars="200" w:firstLine="482"/>
        <w:rPr>
          <w:bCs/>
          <w:color w:val="auto"/>
          <w:szCs w:val="24"/>
        </w:rPr>
      </w:pPr>
      <w:bookmarkStart w:id="101" w:name="_Toc296551354"/>
      <w:bookmarkStart w:id="102" w:name="_Toc26976"/>
      <w:bookmarkStart w:id="103" w:name="_Toc142055722"/>
      <w:bookmarkStart w:id="104" w:name="_Toc4870341"/>
      <w:r>
        <w:rPr>
          <w:rFonts w:hint="eastAsia"/>
          <w:bCs/>
          <w:color w:val="auto"/>
          <w:szCs w:val="24"/>
        </w:rPr>
        <w:t>第十八条 争议解决方式</w:t>
      </w:r>
      <w:bookmarkEnd w:id="101"/>
      <w:bookmarkEnd w:id="102"/>
      <w:bookmarkEnd w:id="103"/>
      <w:bookmarkEnd w:id="104"/>
    </w:p>
    <w:p w14:paraId="02B99F6E" w14:textId="77777777" w:rsidR="001522F9" w:rsidRPr="001522F9" w:rsidRDefault="001522F9" w:rsidP="001522F9">
      <w:pPr>
        <w:spacing w:line="360" w:lineRule="auto"/>
        <w:ind w:firstLineChars="200" w:firstLine="480"/>
        <w:rPr>
          <w:bCs/>
          <w:sz w:val="24"/>
        </w:rPr>
      </w:pPr>
      <w:r w:rsidRPr="001522F9">
        <w:rPr>
          <w:rFonts w:hint="eastAsia"/>
          <w:bCs/>
          <w:sz w:val="24"/>
        </w:rPr>
        <w:t>对于因</w:t>
      </w:r>
      <w:r w:rsidR="00CC4FBA">
        <w:rPr>
          <w:rFonts w:hint="eastAsia"/>
          <w:bCs/>
          <w:sz w:val="24"/>
        </w:rPr>
        <w:t>托管协议</w:t>
      </w:r>
      <w:r w:rsidRPr="001522F9">
        <w:rPr>
          <w:rFonts w:hint="eastAsia"/>
          <w:bCs/>
          <w:sz w:val="24"/>
        </w:rPr>
        <w:t>的订立、内容、履行和解释或与</w:t>
      </w:r>
      <w:r w:rsidR="00CC4FBA">
        <w:rPr>
          <w:rFonts w:hint="eastAsia"/>
          <w:bCs/>
          <w:sz w:val="24"/>
        </w:rPr>
        <w:t>托管协议</w:t>
      </w:r>
      <w:r w:rsidRPr="001522F9">
        <w:rPr>
          <w:rFonts w:hint="eastAsia"/>
          <w:bCs/>
          <w:sz w:val="24"/>
        </w:rPr>
        <w:t>有关的争议，</w:t>
      </w:r>
      <w:r w:rsidR="00CC4FBA">
        <w:rPr>
          <w:rFonts w:hint="eastAsia"/>
          <w:bCs/>
          <w:sz w:val="24"/>
        </w:rPr>
        <w:t>双方</w:t>
      </w:r>
      <w:r w:rsidRPr="001522F9">
        <w:rPr>
          <w:rFonts w:hint="eastAsia"/>
          <w:bCs/>
          <w:sz w:val="24"/>
        </w:rPr>
        <w:t>当事人应尽量通过协商、调解途径解决。不愿或者不能通过协商、调解解决的，任何一方均有权将争议提交中国国际经济贸易仲裁委员会，仲裁地点为北京市，按照中国国际经济贸易仲裁委员会届时有效的仲裁规则进行仲裁。仲裁裁决是终局的，对</w:t>
      </w:r>
      <w:r w:rsidR="00CC4FBA">
        <w:rPr>
          <w:rFonts w:hint="eastAsia"/>
          <w:bCs/>
          <w:sz w:val="24"/>
        </w:rPr>
        <w:t>双</w:t>
      </w:r>
      <w:r w:rsidRPr="001522F9">
        <w:rPr>
          <w:rFonts w:hint="eastAsia"/>
          <w:bCs/>
          <w:sz w:val="24"/>
        </w:rPr>
        <w:t>方当事人均有约束力。仲裁费由败诉方承担，除非仲裁裁决另有决定。</w:t>
      </w:r>
    </w:p>
    <w:p w14:paraId="2625EA32" w14:textId="77777777" w:rsidR="001522F9" w:rsidRPr="001522F9" w:rsidRDefault="001522F9" w:rsidP="001522F9">
      <w:pPr>
        <w:spacing w:line="360" w:lineRule="auto"/>
        <w:ind w:firstLineChars="200" w:firstLine="480"/>
        <w:rPr>
          <w:bCs/>
          <w:sz w:val="24"/>
        </w:rPr>
      </w:pPr>
      <w:r w:rsidRPr="001522F9">
        <w:rPr>
          <w:rFonts w:hint="eastAsia"/>
          <w:bCs/>
          <w:sz w:val="24"/>
        </w:rPr>
        <w:t>争议处理期间，基金管理人和基金托管人应恪守各自的职责，继续忠实、勤勉、尽责地履行基金合同</w:t>
      </w:r>
      <w:r w:rsidR="00CC4FBA">
        <w:rPr>
          <w:rFonts w:hint="eastAsia"/>
          <w:bCs/>
          <w:sz w:val="24"/>
        </w:rPr>
        <w:t>和托管协议</w:t>
      </w:r>
      <w:r w:rsidRPr="001522F9">
        <w:rPr>
          <w:rFonts w:hint="eastAsia"/>
          <w:bCs/>
          <w:sz w:val="24"/>
        </w:rPr>
        <w:t>约定的义务，维护基金份额持有人的合法权益。</w:t>
      </w:r>
    </w:p>
    <w:p w14:paraId="17965297" w14:textId="77777777" w:rsidR="00E61384" w:rsidRDefault="001522F9" w:rsidP="001522F9">
      <w:pPr>
        <w:spacing w:line="360" w:lineRule="auto"/>
        <w:ind w:firstLineChars="200" w:firstLine="480"/>
        <w:rPr>
          <w:bCs/>
          <w:sz w:val="24"/>
        </w:rPr>
      </w:pPr>
      <w:r w:rsidRPr="001522F9">
        <w:rPr>
          <w:rFonts w:hint="eastAsia"/>
          <w:bCs/>
          <w:sz w:val="24"/>
        </w:rPr>
        <w:t>本</w:t>
      </w:r>
      <w:r w:rsidR="00CC4FBA">
        <w:rPr>
          <w:rFonts w:hint="eastAsia"/>
          <w:bCs/>
          <w:sz w:val="24"/>
        </w:rPr>
        <w:t>托管协议</w:t>
      </w:r>
      <w:r w:rsidRPr="001522F9">
        <w:rPr>
          <w:rFonts w:hint="eastAsia"/>
          <w:bCs/>
          <w:sz w:val="24"/>
        </w:rPr>
        <w:t>受中国法律（为本</w:t>
      </w:r>
      <w:r w:rsidR="00CC4FBA">
        <w:rPr>
          <w:rFonts w:hint="eastAsia"/>
          <w:bCs/>
          <w:sz w:val="24"/>
        </w:rPr>
        <w:t>托管协议</w:t>
      </w:r>
      <w:r w:rsidRPr="001522F9">
        <w:rPr>
          <w:rFonts w:hint="eastAsia"/>
          <w:bCs/>
          <w:sz w:val="24"/>
        </w:rPr>
        <w:t>之目的，不包括香港特别行政区、澳门特别行政区和台湾地区法律）管辖，并按其解释。</w:t>
      </w:r>
    </w:p>
    <w:p w14:paraId="7CEB2DD7" w14:textId="77777777" w:rsidR="00E61384" w:rsidRDefault="00E61384">
      <w:pPr>
        <w:pStyle w:val="20"/>
        <w:spacing w:before="0" w:after="0" w:line="360" w:lineRule="auto"/>
        <w:ind w:left="0" w:firstLineChars="200" w:firstLine="480"/>
        <w:rPr>
          <w:rFonts w:hAnsi="宋体"/>
          <w:szCs w:val="24"/>
        </w:rPr>
      </w:pPr>
    </w:p>
    <w:p w14:paraId="654A79C7" w14:textId="77777777" w:rsidR="00E61384" w:rsidRDefault="0093607B">
      <w:pPr>
        <w:pStyle w:val="1"/>
        <w:ind w:firstLineChars="200" w:firstLine="482"/>
        <w:rPr>
          <w:bCs/>
          <w:color w:val="auto"/>
          <w:szCs w:val="24"/>
        </w:rPr>
      </w:pPr>
      <w:bookmarkStart w:id="105" w:name="_Toc4870342"/>
      <w:bookmarkStart w:id="106" w:name="_Toc296551355"/>
      <w:bookmarkStart w:id="107" w:name="_Toc6877"/>
      <w:bookmarkStart w:id="108" w:name="_Toc142055723"/>
      <w:r>
        <w:rPr>
          <w:rFonts w:hint="eastAsia"/>
          <w:bCs/>
          <w:color w:val="auto"/>
          <w:szCs w:val="24"/>
        </w:rPr>
        <w:t>第十九条 基金托管协议的效力</w:t>
      </w:r>
      <w:bookmarkEnd w:id="105"/>
      <w:bookmarkEnd w:id="106"/>
      <w:bookmarkEnd w:id="107"/>
      <w:bookmarkEnd w:id="108"/>
    </w:p>
    <w:p w14:paraId="752EBE0D" w14:textId="77777777" w:rsidR="00E61384" w:rsidRDefault="0093607B">
      <w:pPr>
        <w:spacing w:line="360" w:lineRule="auto"/>
        <w:ind w:firstLineChars="200" w:firstLine="480"/>
        <w:rPr>
          <w:bCs/>
          <w:sz w:val="24"/>
        </w:rPr>
      </w:pPr>
      <w:r>
        <w:rPr>
          <w:rFonts w:hint="eastAsia"/>
          <w:bCs/>
          <w:sz w:val="24"/>
        </w:rPr>
        <w:t>19.1</w:t>
      </w:r>
      <w:r>
        <w:rPr>
          <w:rFonts w:hint="eastAsia"/>
          <w:bCs/>
          <w:sz w:val="24"/>
        </w:rPr>
        <w:t>基金管理人在向中国证监会申请募集注册本基金时提交的托管协议草案，应经托管协议当事人加盖公章或合同专用章以及双方法定代表人或授权</w:t>
      </w:r>
      <w:r>
        <w:rPr>
          <w:bCs/>
          <w:sz w:val="24"/>
        </w:rPr>
        <w:t>代表</w:t>
      </w:r>
      <w:r>
        <w:rPr>
          <w:rFonts w:hint="eastAsia"/>
          <w:bCs/>
          <w:sz w:val="24"/>
        </w:rPr>
        <w:t>签字或盖章，协议当事人双方可能不时根据中国证监会的意见修改托管协议草案。托管协议以中国证监会注册的文本为正式文本。</w:t>
      </w:r>
    </w:p>
    <w:p w14:paraId="1D3DF51B" w14:textId="77777777" w:rsidR="00E61384" w:rsidRDefault="0093607B">
      <w:pPr>
        <w:spacing w:line="360" w:lineRule="auto"/>
        <w:ind w:firstLineChars="200" w:firstLine="480"/>
        <w:rPr>
          <w:bCs/>
          <w:sz w:val="24"/>
        </w:rPr>
      </w:pPr>
      <w:r>
        <w:rPr>
          <w:rFonts w:hint="eastAsia"/>
          <w:bCs/>
          <w:sz w:val="24"/>
        </w:rPr>
        <w:t>19.2</w:t>
      </w:r>
      <w:r>
        <w:rPr>
          <w:rFonts w:hint="eastAsia"/>
          <w:bCs/>
          <w:sz w:val="24"/>
        </w:rPr>
        <w:t>本托管协议自基金合同成立之日起成立，自基金合同生效之日起生效。本托管协议的有效期自其生效之日起至该基金财产清算结果报中国证监会备案并公告之日止。</w:t>
      </w:r>
    </w:p>
    <w:p w14:paraId="6CF0D45D" w14:textId="77777777" w:rsidR="00E61384" w:rsidRDefault="0093607B">
      <w:pPr>
        <w:spacing w:line="360" w:lineRule="auto"/>
        <w:ind w:firstLineChars="200" w:firstLine="480"/>
        <w:rPr>
          <w:bCs/>
          <w:sz w:val="24"/>
        </w:rPr>
      </w:pPr>
      <w:r>
        <w:rPr>
          <w:rFonts w:hint="eastAsia"/>
          <w:bCs/>
          <w:sz w:val="24"/>
        </w:rPr>
        <w:t>19.3</w:t>
      </w:r>
      <w:r>
        <w:rPr>
          <w:rFonts w:hint="eastAsia"/>
          <w:bCs/>
          <w:sz w:val="24"/>
        </w:rPr>
        <w:t>本托管协议自生效之日起对托管协议当事人具有同等的法律约束力。</w:t>
      </w:r>
    </w:p>
    <w:p w14:paraId="6E0FDF88" w14:textId="77777777" w:rsidR="00E61384" w:rsidRDefault="0093607B">
      <w:pPr>
        <w:spacing w:line="360" w:lineRule="auto"/>
        <w:ind w:firstLineChars="200" w:firstLine="480"/>
        <w:rPr>
          <w:rFonts w:hAnsi="宋体"/>
          <w:szCs w:val="24"/>
        </w:rPr>
      </w:pPr>
      <w:r>
        <w:rPr>
          <w:rFonts w:hint="eastAsia"/>
          <w:bCs/>
          <w:sz w:val="24"/>
        </w:rPr>
        <w:t>19.4</w:t>
      </w:r>
      <w:r>
        <w:rPr>
          <w:rFonts w:hint="eastAsia"/>
          <w:bCs/>
          <w:sz w:val="24"/>
        </w:rPr>
        <w:t>本托管协议正本一式三份，除上报有关监管机构一份外，基金管理人和基金托管人分别持有一份，每份具有同等的法律效力。</w:t>
      </w:r>
    </w:p>
    <w:p w14:paraId="71FF4609" w14:textId="77777777" w:rsidR="00E61384" w:rsidRDefault="00E61384">
      <w:pPr>
        <w:pStyle w:val="20"/>
        <w:spacing w:before="0" w:after="0" w:line="520" w:lineRule="exact"/>
        <w:ind w:left="0" w:firstLineChars="200" w:firstLine="480"/>
        <w:rPr>
          <w:rFonts w:hAnsi="宋体"/>
          <w:szCs w:val="24"/>
        </w:rPr>
      </w:pPr>
    </w:p>
    <w:p w14:paraId="692EBB2E" w14:textId="77777777" w:rsidR="00E61384" w:rsidRDefault="0093607B">
      <w:pPr>
        <w:pStyle w:val="1"/>
        <w:spacing w:line="520" w:lineRule="exact"/>
        <w:ind w:firstLineChars="200" w:firstLine="482"/>
        <w:rPr>
          <w:bCs/>
          <w:color w:val="auto"/>
          <w:szCs w:val="24"/>
        </w:rPr>
      </w:pPr>
      <w:bookmarkStart w:id="109" w:name="_Toc296551356"/>
      <w:bookmarkStart w:id="110" w:name="_Toc4870343"/>
      <w:bookmarkStart w:id="111" w:name="_Toc142055724"/>
      <w:bookmarkStart w:id="112" w:name="_Toc2587"/>
      <w:r>
        <w:rPr>
          <w:rFonts w:hint="eastAsia"/>
          <w:bCs/>
          <w:color w:val="auto"/>
          <w:szCs w:val="24"/>
        </w:rPr>
        <w:t>第二十条 基金托管协议的签订</w:t>
      </w:r>
      <w:bookmarkEnd w:id="109"/>
      <w:bookmarkEnd w:id="110"/>
      <w:bookmarkEnd w:id="111"/>
      <w:bookmarkEnd w:id="112"/>
    </w:p>
    <w:p w14:paraId="40CFD3EA" w14:textId="77777777" w:rsidR="00E61384" w:rsidRDefault="0093607B">
      <w:pPr>
        <w:snapToGrid w:val="0"/>
        <w:spacing w:line="520" w:lineRule="exact"/>
        <w:ind w:firstLineChars="200" w:firstLine="480"/>
        <w:rPr>
          <w:rFonts w:ascii="宋体" w:hAnsi="宋体"/>
          <w:sz w:val="24"/>
          <w:szCs w:val="24"/>
        </w:rPr>
      </w:pPr>
      <w:r>
        <w:rPr>
          <w:rFonts w:ascii="宋体" w:hAnsi="宋体" w:hint="eastAsia"/>
          <w:sz w:val="24"/>
          <w:szCs w:val="24"/>
        </w:rPr>
        <w:t>20.1本托管协议经基金管理人和基金托管人认可后，由该双方当事人在本托管协议上加盖公章或合同专用章，并由各自的法定代表人或授权代理人签字或盖章，并注明本托管协议的签订地点和签订日期。</w:t>
      </w:r>
    </w:p>
    <w:p w14:paraId="000189AF" w14:textId="77777777" w:rsidR="00E61384" w:rsidRDefault="00E61384">
      <w:pPr>
        <w:pStyle w:val="20"/>
        <w:spacing w:before="0" w:after="0" w:line="520" w:lineRule="exact"/>
        <w:ind w:left="0" w:firstLineChars="200" w:firstLine="480"/>
        <w:rPr>
          <w:rFonts w:hAnsi="宋体"/>
          <w:szCs w:val="24"/>
        </w:rPr>
      </w:pPr>
    </w:p>
    <w:p w14:paraId="560BB199" w14:textId="77777777" w:rsidR="00E61384" w:rsidRDefault="0093607B">
      <w:pPr>
        <w:pStyle w:val="1"/>
        <w:spacing w:line="520" w:lineRule="exact"/>
        <w:ind w:firstLineChars="200" w:firstLine="482"/>
        <w:rPr>
          <w:bCs/>
          <w:color w:val="auto"/>
          <w:szCs w:val="24"/>
        </w:rPr>
      </w:pPr>
      <w:bookmarkStart w:id="113" w:name="_Toc6382"/>
      <w:bookmarkStart w:id="114" w:name="_Toc142055725"/>
      <w:bookmarkStart w:id="115" w:name="_Toc4870344"/>
      <w:r>
        <w:rPr>
          <w:rFonts w:hint="eastAsia"/>
          <w:bCs/>
          <w:color w:val="auto"/>
          <w:szCs w:val="24"/>
        </w:rPr>
        <w:t>第二十一条 不可抗力</w:t>
      </w:r>
      <w:bookmarkEnd w:id="113"/>
      <w:bookmarkEnd w:id="114"/>
      <w:bookmarkEnd w:id="115"/>
    </w:p>
    <w:p w14:paraId="19A92F2D"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21.1如果本协议任何一方因受不可抗力事件影响而未能履行其在本协议下的全部或部分义务，该义务的履行在不可抗力事件妨碍其履行期间应予中止。</w:t>
      </w:r>
    </w:p>
    <w:p w14:paraId="0A83849A"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21.2声称受到不可抗力事件影响的一方应尽可能在最短的时间内通过书面形式将不可抗力事件的发生通知其他当事人，并及时向其他当事人提供关于此种不可抗力事件的适当证据。声称不可抗力事件导致其对本协议的履行在客观上成为不可能或不实际的一方，有责任尽一切合理的努力消除或减轻此等不可抗力事件的影响。</w:t>
      </w:r>
    </w:p>
    <w:p w14:paraId="7282C4B6"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21.3不可抗力事件发生时，双方应立即通过友好协商决定如何执行本协议。不可抗力事件或其影响终止或消除后，双方须立即恢复履行各自在本协议项下的各项义务。</w:t>
      </w:r>
    </w:p>
    <w:p w14:paraId="1DC15FDF" w14:textId="77777777" w:rsidR="00E61384" w:rsidRDefault="0093607B">
      <w:pPr>
        <w:pStyle w:val="20"/>
        <w:spacing w:before="0" w:after="0" w:line="520" w:lineRule="exact"/>
        <w:ind w:left="0" w:firstLineChars="200" w:firstLine="480"/>
        <w:rPr>
          <w:rFonts w:hAnsi="宋体"/>
          <w:szCs w:val="24"/>
        </w:rPr>
      </w:pPr>
      <w:r>
        <w:rPr>
          <w:rFonts w:hAnsi="宋体" w:hint="eastAsia"/>
          <w:szCs w:val="24"/>
        </w:rPr>
        <w:t>21.4本条所述的不可抗力事件是指不能预见、不能避免并不能克服的客观情况。</w:t>
      </w:r>
    </w:p>
    <w:p w14:paraId="1E87BB44" w14:textId="77777777" w:rsidR="00E61384" w:rsidRDefault="00E61384">
      <w:pPr>
        <w:pStyle w:val="20"/>
        <w:spacing w:before="0" w:after="0" w:line="520" w:lineRule="exact"/>
        <w:ind w:left="0" w:firstLineChars="200" w:firstLine="480"/>
        <w:rPr>
          <w:rFonts w:hAnsi="宋体"/>
          <w:szCs w:val="24"/>
        </w:rPr>
      </w:pPr>
    </w:p>
    <w:p w14:paraId="5827DD98" w14:textId="77777777" w:rsidR="00E61384" w:rsidRDefault="0093607B">
      <w:pPr>
        <w:pStyle w:val="1"/>
        <w:spacing w:line="520" w:lineRule="exact"/>
        <w:ind w:firstLineChars="200" w:firstLine="482"/>
        <w:rPr>
          <w:bCs/>
          <w:szCs w:val="24"/>
        </w:rPr>
      </w:pPr>
      <w:bookmarkStart w:id="116" w:name="_Toc132794329"/>
      <w:bookmarkStart w:id="117" w:name="_Toc132794330"/>
      <w:bookmarkStart w:id="118" w:name="_Toc132794328"/>
      <w:bookmarkStart w:id="119" w:name="_Toc132794326"/>
      <w:bookmarkStart w:id="120" w:name="_Toc132794327"/>
      <w:bookmarkStart w:id="121" w:name="_Toc132794325"/>
      <w:bookmarkStart w:id="122" w:name="_Toc132794324"/>
      <w:bookmarkStart w:id="123" w:name="_Toc142055726"/>
      <w:bookmarkStart w:id="124" w:name="_Toc4870345"/>
      <w:bookmarkStart w:id="125" w:name="_Toc24511"/>
      <w:bookmarkEnd w:id="116"/>
      <w:bookmarkEnd w:id="117"/>
      <w:bookmarkEnd w:id="118"/>
      <w:bookmarkEnd w:id="119"/>
      <w:bookmarkEnd w:id="120"/>
      <w:bookmarkEnd w:id="121"/>
      <w:bookmarkEnd w:id="122"/>
      <w:r>
        <w:rPr>
          <w:rFonts w:hint="eastAsia"/>
          <w:bCs/>
          <w:color w:val="auto"/>
          <w:szCs w:val="24"/>
        </w:rPr>
        <w:t>第二十二条</w:t>
      </w:r>
      <w:r>
        <w:rPr>
          <w:bCs/>
          <w:color w:val="auto"/>
          <w:szCs w:val="24"/>
        </w:rPr>
        <w:t xml:space="preserve"> </w:t>
      </w:r>
      <w:r>
        <w:rPr>
          <w:rFonts w:hint="eastAsia"/>
          <w:bCs/>
          <w:color w:val="auto"/>
          <w:szCs w:val="24"/>
        </w:rPr>
        <w:t>可分割性</w:t>
      </w:r>
      <w:bookmarkEnd w:id="123"/>
      <w:bookmarkEnd w:id="124"/>
      <w:bookmarkEnd w:id="125"/>
    </w:p>
    <w:p w14:paraId="0C6CEB69" w14:textId="77777777" w:rsidR="00E61384" w:rsidRDefault="0093607B">
      <w:pPr>
        <w:pStyle w:val="20"/>
        <w:spacing w:before="0" w:after="0" w:line="520" w:lineRule="exact"/>
        <w:ind w:left="0" w:firstLineChars="200" w:firstLine="480"/>
        <w:rPr>
          <w:rFonts w:hAnsi="宋体"/>
          <w:szCs w:val="24"/>
        </w:rPr>
      </w:pPr>
      <w:r>
        <w:rPr>
          <w:rFonts w:hAnsi="宋体"/>
          <w:szCs w:val="24"/>
        </w:rPr>
        <w:t>22.1如果本协议任何约定依现行法律被确定为无效或无法实施，本协议的其他条款将继续有效。此种情况下，</w:t>
      </w:r>
      <w:r>
        <w:rPr>
          <w:rFonts w:hAnsi="宋体" w:hint="eastAsia"/>
          <w:szCs w:val="24"/>
        </w:rPr>
        <w:t>双方</w:t>
      </w:r>
      <w:r>
        <w:rPr>
          <w:rFonts w:hAnsi="宋体"/>
          <w:szCs w:val="24"/>
        </w:rPr>
        <w:t>将积极协商以达成有效的约定，且该有效约定应尽可能接近原规定和本协议相应的精神和宗旨。</w:t>
      </w:r>
    </w:p>
    <w:p w14:paraId="498FD0CB" w14:textId="77777777" w:rsidR="00E61384" w:rsidRDefault="00E61384">
      <w:pPr>
        <w:pStyle w:val="20"/>
        <w:spacing w:line="520" w:lineRule="exact"/>
        <w:rPr>
          <w:rFonts w:hAnsi="宋体"/>
          <w:sz w:val="28"/>
          <w:szCs w:val="28"/>
        </w:rPr>
      </w:pPr>
    </w:p>
    <w:p w14:paraId="2D49D7AF" w14:textId="77777777" w:rsidR="00E61384" w:rsidRDefault="0093607B">
      <w:pPr>
        <w:pStyle w:val="1"/>
        <w:spacing w:line="520" w:lineRule="exact"/>
        <w:ind w:firstLineChars="200" w:firstLine="482"/>
        <w:rPr>
          <w:bCs/>
          <w:szCs w:val="24"/>
        </w:rPr>
      </w:pPr>
      <w:bookmarkStart w:id="126" w:name="_Toc4870346"/>
      <w:bookmarkStart w:id="127" w:name="_Toc142055727"/>
      <w:bookmarkStart w:id="128" w:name="_Toc22181"/>
      <w:r>
        <w:rPr>
          <w:rFonts w:hint="eastAsia"/>
          <w:bCs/>
          <w:color w:val="auto"/>
          <w:szCs w:val="24"/>
        </w:rPr>
        <w:lastRenderedPageBreak/>
        <w:t>第二十三条</w:t>
      </w:r>
      <w:r>
        <w:rPr>
          <w:bCs/>
          <w:color w:val="auto"/>
          <w:szCs w:val="24"/>
        </w:rPr>
        <w:t xml:space="preserve"> </w:t>
      </w:r>
      <w:r>
        <w:rPr>
          <w:rFonts w:hint="eastAsia"/>
          <w:bCs/>
          <w:color w:val="auto"/>
          <w:szCs w:val="24"/>
        </w:rPr>
        <w:t>通知与送达</w:t>
      </w:r>
      <w:bookmarkEnd w:id="126"/>
      <w:bookmarkEnd w:id="127"/>
      <w:bookmarkEnd w:id="128"/>
    </w:p>
    <w:p w14:paraId="04E4298C" w14:textId="77777777" w:rsidR="00E61384" w:rsidRDefault="0093607B">
      <w:pPr>
        <w:pStyle w:val="20"/>
        <w:spacing w:line="520" w:lineRule="exact"/>
        <w:ind w:left="0" w:firstLineChars="200" w:firstLine="480"/>
        <w:rPr>
          <w:rFonts w:hAnsi="宋体"/>
          <w:szCs w:val="24"/>
        </w:rPr>
      </w:pPr>
      <w:r>
        <w:rPr>
          <w:rFonts w:hAnsi="宋体"/>
          <w:szCs w:val="24"/>
        </w:rPr>
        <w:t>23.1除本协议另有约定外，按本协议约定由任何一方发给其他方的正式通知或者书面通讯，应以挂号邮寄、图文传真、快递或者其他通讯形式发出，送至</w:t>
      </w:r>
      <w:r>
        <w:rPr>
          <w:rFonts w:hAnsi="宋体" w:hint="eastAsia"/>
          <w:szCs w:val="24"/>
        </w:rPr>
        <w:t>对方</w:t>
      </w:r>
      <w:r>
        <w:rPr>
          <w:rFonts w:hAnsi="宋体"/>
          <w:szCs w:val="24"/>
        </w:rPr>
        <w:t>通知地址。</w:t>
      </w:r>
    </w:p>
    <w:p w14:paraId="401A9296" w14:textId="77777777" w:rsidR="00E61384" w:rsidRDefault="0093607B">
      <w:pPr>
        <w:pStyle w:val="20"/>
        <w:spacing w:line="520" w:lineRule="exact"/>
        <w:ind w:left="0" w:firstLineChars="200" w:firstLine="480"/>
        <w:rPr>
          <w:rFonts w:hAnsi="宋体"/>
          <w:szCs w:val="24"/>
        </w:rPr>
      </w:pPr>
      <w:r>
        <w:rPr>
          <w:rFonts w:hAnsi="宋体"/>
          <w:szCs w:val="24"/>
        </w:rPr>
        <w:t>23.2如采用挂号邮寄方式，上述文件或通知在</w:t>
      </w:r>
      <w:r>
        <w:rPr>
          <w:rFonts w:hAnsi="宋体" w:hint="eastAsia"/>
          <w:szCs w:val="24"/>
        </w:rPr>
        <w:t>收件</w:t>
      </w:r>
      <w:proofErr w:type="gramStart"/>
      <w:r>
        <w:rPr>
          <w:rFonts w:hAnsi="宋体" w:hint="eastAsia"/>
          <w:szCs w:val="24"/>
        </w:rPr>
        <w:t>方收到</w:t>
      </w:r>
      <w:proofErr w:type="gramEnd"/>
      <w:r>
        <w:rPr>
          <w:rFonts w:hAnsi="宋体" w:hint="eastAsia"/>
          <w:szCs w:val="24"/>
        </w:rPr>
        <w:t>邮件时</w:t>
      </w:r>
      <w:r>
        <w:rPr>
          <w:rFonts w:hAnsi="宋体"/>
          <w:szCs w:val="24"/>
        </w:rPr>
        <w:t>，即视为送达；</w:t>
      </w:r>
      <w:r>
        <w:rPr>
          <w:rFonts w:hAnsi="宋体" w:hint="eastAsia"/>
          <w:szCs w:val="24"/>
        </w:rPr>
        <w:t>如采用快递方式，上述文件或通知在收件</w:t>
      </w:r>
      <w:proofErr w:type="gramStart"/>
      <w:r>
        <w:rPr>
          <w:rFonts w:hAnsi="宋体" w:hint="eastAsia"/>
          <w:szCs w:val="24"/>
        </w:rPr>
        <w:t>方收到</w:t>
      </w:r>
      <w:proofErr w:type="gramEnd"/>
      <w:r>
        <w:rPr>
          <w:rFonts w:hAnsi="宋体" w:hint="eastAsia"/>
          <w:szCs w:val="24"/>
        </w:rPr>
        <w:t>邮件时</w:t>
      </w:r>
      <w:r>
        <w:rPr>
          <w:rFonts w:hAnsi="宋体"/>
          <w:szCs w:val="24"/>
        </w:rPr>
        <w:t>，即视为送达；如采用图文传真方式，</w:t>
      </w:r>
      <w:r>
        <w:rPr>
          <w:rFonts w:hAnsi="宋体" w:hint="eastAsia"/>
          <w:szCs w:val="24"/>
        </w:rPr>
        <w:t>有</w:t>
      </w:r>
      <w:r>
        <w:rPr>
          <w:rFonts w:hAnsi="宋体"/>
          <w:szCs w:val="24"/>
        </w:rPr>
        <w:t>发送成功回执所示之日，即视为送达。</w:t>
      </w:r>
    </w:p>
    <w:p w14:paraId="56765D35" w14:textId="77777777" w:rsidR="00E61384" w:rsidRDefault="0093607B">
      <w:pPr>
        <w:pStyle w:val="20"/>
        <w:spacing w:line="520" w:lineRule="exact"/>
        <w:ind w:left="0" w:firstLineChars="200" w:firstLine="480"/>
        <w:rPr>
          <w:rFonts w:hAnsi="宋体"/>
          <w:szCs w:val="24"/>
        </w:rPr>
      </w:pPr>
      <w:r>
        <w:rPr>
          <w:rFonts w:hAnsi="宋体"/>
          <w:szCs w:val="24"/>
        </w:rPr>
        <w:t>23.3如果联系方式之任何一项发生变更，相关方应在变更后7日内将更改后的联系方式按本条的约定书面通知对方。此后，本条约定的文件或通知应按变更后的联系方式送达，如相关方未能及时通知的，由此引发的</w:t>
      </w:r>
      <w:r>
        <w:rPr>
          <w:rFonts w:hAnsi="宋体" w:hint="eastAsia"/>
          <w:szCs w:val="24"/>
        </w:rPr>
        <w:t>相应</w:t>
      </w:r>
      <w:r>
        <w:rPr>
          <w:rFonts w:hAnsi="宋体"/>
          <w:szCs w:val="24"/>
        </w:rPr>
        <w:t>不利后果由责任方承担。</w:t>
      </w:r>
    </w:p>
    <w:p w14:paraId="54C9E8EA" w14:textId="5FEDAE35" w:rsidR="00E61384" w:rsidRDefault="00E61384">
      <w:pPr>
        <w:spacing w:line="360" w:lineRule="auto"/>
        <w:ind w:firstLineChars="150" w:firstLine="360"/>
        <w:rPr>
          <w:rFonts w:ascii="宋体" w:hAnsi="宋体"/>
          <w:bCs/>
          <w:kern w:val="0"/>
          <w:sz w:val="24"/>
          <w:szCs w:val="24"/>
        </w:rPr>
      </w:pPr>
    </w:p>
    <w:sectPr w:rsidR="00E61384">
      <w:footerReference w:type="default" r:id="rId14"/>
      <w:pgSz w:w="11906" w:h="16838"/>
      <w:pgMar w:top="1418" w:right="1701" w:bottom="1418"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EE9912" w14:textId="77777777" w:rsidR="00745BB1" w:rsidRDefault="00745BB1">
      <w:r>
        <w:separator/>
      </w:r>
    </w:p>
  </w:endnote>
  <w:endnote w:type="continuationSeparator" w:id="0">
    <w:p w14:paraId="080C7D0D" w14:textId="77777777" w:rsidR="00745BB1" w:rsidRDefault="00745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14C613" w14:textId="77777777" w:rsidR="00DF17C0" w:rsidRDefault="00DF17C0">
    <w:pPr>
      <w:pStyle w:val="ad"/>
      <w:framePr w:wrap="around" w:vAnchor="text" w:hAnchor="margin" w:xAlign="center" w:y="1"/>
      <w:rPr>
        <w:rStyle w:val="af3"/>
      </w:rPr>
    </w:pPr>
    <w:r>
      <w:fldChar w:fldCharType="begin"/>
    </w:r>
    <w:r>
      <w:rPr>
        <w:rStyle w:val="af3"/>
      </w:rPr>
      <w:instrText xml:space="preserve">PAGE  </w:instrText>
    </w:r>
    <w:r>
      <w:fldChar w:fldCharType="end"/>
    </w:r>
  </w:p>
  <w:p w14:paraId="3AFFA41D" w14:textId="77777777" w:rsidR="00DF17C0" w:rsidRDefault="00DF17C0">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8A522" w14:textId="77777777" w:rsidR="00DF17C0" w:rsidRDefault="00DF17C0">
    <w:pPr>
      <w:pStyle w:val="ad"/>
    </w:pPr>
    <w:r>
      <w:rPr>
        <w:noProof/>
      </w:rPr>
      <mc:AlternateContent>
        <mc:Choice Requires="wps">
          <w:drawing>
            <wp:anchor distT="0" distB="0" distL="114300" distR="114300" simplePos="0" relativeHeight="251662336" behindDoc="0" locked="0" layoutInCell="1" allowOverlap="1" wp14:anchorId="011A7F8F" wp14:editId="709C47B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23A46F" w14:textId="77777777" w:rsidR="00DF17C0" w:rsidRDefault="00DF17C0">
                          <w:pPr>
                            <w:pStyle w:val="ad"/>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DF17C0" w:rsidRDefault="00DF17C0">
                    <w:pPr>
                      <w:pStyle w:val="ad"/>
                    </w:pPr>
                    <w:r>
                      <w:fldChar w:fldCharType="begin"/>
                    </w:r>
                    <w:r>
                      <w:instrText xml:space="preserve"> PAGE  \* MERGEFORMAT </w:instrText>
                    </w:r>
                    <w:r>
                      <w:fldChar w:fldCharType="separate"/>
                    </w:r>
                    <w:r>
                      <w:t>0</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36785595" wp14:editId="4177FE2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E92D04" w14:textId="77777777" w:rsidR="00DF17C0" w:rsidRDefault="00DF17C0">
                          <w:pPr>
                            <w:pStyle w:val="ad"/>
                          </w:pPr>
                        </w:p>
                        <w:p w14:paraId="7870EB16" w14:textId="77777777" w:rsidR="00DF17C0" w:rsidRDefault="00DF17C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DF17C0" w:rsidRDefault="00DF17C0">
                    <w:pPr>
                      <w:pStyle w:val="ad"/>
                    </w:pPr>
                  </w:p>
                  <w:p w:rsidR="00DF17C0" w:rsidRDefault="00DF17C0"/>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E972A" w14:textId="77777777" w:rsidR="00DF17C0" w:rsidRDefault="00DF17C0">
    <w:pPr>
      <w:pStyle w:val="ad"/>
    </w:pPr>
    <w:r>
      <w:rPr>
        <w:noProof/>
      </w:rPr>
      <mc:AlternateContent>
        <mc:Choice Requires="wps">
          <w:drawing>
            <wp:anchor distT="0" distB="0" distL="114300" distR="114300" simplePos="0" relativeHeight="251663360" behindDoc="0" locked="0" layoutInCell="1" allowOverlap="1" wp14:anchorId="335F2EBC" wp14:editId="6590BE15">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3953E7" w14:textId="77777777" w:rsidR="00DF17C0" w:rsidRDefault="00DF17C0">
                          <w:pPr>
                            <w:pStyle w:val="ad"/>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id="_x0000_t202" coordsize="21600,21600" o:spt="202" path="m,l,21600r21600,l21600,xe">
              <v:stroke joinstyle="miter"/>
              <v:path gradientshapeok="t" o:connecttype="rect"/>
            </v:shapetype>
            <v:shape id="文本框 4" o:spid="_x0000_s1028"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DF17C0" w:rsidRDefault="00DF17C0">
                    <w:pPr>
                      <w:pStyle w:val="ad"/>
                    </w:pPr>
                  </w:p>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14:anchorId="7CD91905" wp14:editId="2FA1DC83">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D737A" w14:textId="77777777" w:rsidR="00DF17C0" w:rsidRDefault="00DF17C0">
                          <w:pPr>
                            <w:pStyle w:val="ad"/>
                          </w:pPr>
                        </w:p>
                        <w:p w14:paraId="5943E530" w14:textId="77777777" w:rsidR="00DF17C0" w:rsidRDefault="00DF17C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id="文本框 5" o:spid="_x0000_s1029"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4rvH0ZQIAABEFAAAOAAAAAAAAAAAAAAAAAC4CAABkcnMvZTJvRG9j&#10;LnhtbFBLAQItABQABgAIAAAAIQBxqtG51wAAAAUBAAAPAAAAAAAAAAAAAAAAAL8EAABkcnMvZG93&#10;bnJldi54bWxQSwUGAAAAAAQABADzAAAAwwUAAAAA&#10;" filled="f" stroked="f" strokeweight=".5pt">
              <v:textbox style="mso-fit-shape-to-text:t" inset="0,0,0,0">
                <w:txbxContent>
                  <w:p w:rsidR="00DF17C0" w:rsidRDefault="00DF17C0">
                    <w:pPr>
                      <w:pStyle w:val="ad"/>
                    </w:pPr>
                  </w:p>
                  <w:p w:rsidR="00DF17C0" w:rsidRDefault="00DF17C0"/>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88228" w14:textId="77777777" w:rsidR="00DF17C0" w:rsidRDefault="00DF17C0">
    <w:pPr>
      <w:pStyle w:val="ad"/>
    </w:pPr>
    <w:r>
      <w:rPr>
        <w:noProof/>
      </w:rPr>
      <mc:AlternateContent>
        <mc:Choice Requires="wps">
          <w:drawing>
            <wp:anchor distT="0" distB="0" distL="114300" distR="114300" simplePos="0" relativeHeight="251661312" behindDoc="0" locked="0" layoutInCell="1" allowOverlap="1" wp14:anchorId="6F9565A1" wp14:editId="5168BBBC">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6330B" w14:textId="77777777" w:rsidR="00DF17C0" w:rsidRDefault="00DF17C0">
                          <w:pPr>
                            <w:pStyle w:val="ad"/>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id="_x0000_t202" coordsize="21600,21600" o:spt="202" path="m,l,21600r21600,l21600,xe">
              <v:stroke joinstyle="miter"/>
              <v:path gradientshapeok="t" o:connecttype="rect"/>
            </v:shapetype>
            <v:shape id="文本框 6" o:spid="_x0000_s1030"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YcHZAIAABEFAAAOAAAAZHJzL2Uyb0RvYy54bWysVM1uEzEQviPxDpbvdNMCVR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pxhwdkAgAAEQUAAA4AAAAAAAAAAAAAAAAALgIAAGRycy9lMm9Eb2Mu&#10;eG1sUEsBAi0AFAAGAAgAAAAhAHGq0bnXAAAABQEAAA8AAAAAAAAAAAAAAAAAvgQAAGRycy9kb3du&#10;cmV2LnhtbFBLBQYAAAAABAAEAPMAAADCBQAAAAA=&#10;" filled="f" stroked="f" strokeweight=".5pt">
              <v:textbox style="mso-fit-shape-to-text:t" inset="0,0,0,0">
                <w:txbxContent>
                  <w:p w:rsidR="00DF17C0" w:rsidRDefault="00DF17C0">
                    <w:pPr>
                      <w:pStyle w:val="ad"/>
                    </w:pPr>
                    <w:r>
                      <w:fldChar w:fldCharType="begin"/>
                    </w:r>
                    <w:r>
                      <w:instrText xml:space="preserve"> PAGE  \* MERGEFORMAT </w:instrText>
                    </w:r>
                    <w:r>
                      <w:fldChar w:fldCharType="separate"/>
                    </w:r>
                    <w:r>
                      <w:t>0</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9E16A1" w14:textId="77777777" w:rsidR="00DF17C0" w:rsidRDefault="00DF17C0">
    <w:pPr>
      <w:pStyle w:val="ad"/>
      <w:jc w:val="center"/>
    </w:pPr>
    <w:r>
      <w:rPr>
        <w:noProof/>
      </w:rPr>
      <mc:AlternateContent>
        <mc:Choice Requires="wps">
          <w:drawing>
            <wp:anchor distT="0" distB="0" distL="114300" distR="114300" simplePos="0" relativeHeight="251664384" behindDoc="0" locked="0" layoutInCell="1" allowOverlap="1" wp14:anchorId="39F70B04" wp14:editId="556E6B9F">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4DDDC1" w14:textId="30B744CF" w:rsidR="00DF17C0" w:rsidRDefault="00DF17C0">
                          <w:pPr>
                            <w:pStyle w:val="ad"/>
                          </w:pPr>
                          <w:r>
                            <w:fldChar w:fldCharType="begin"/>
                          </w:r>
                          <w:r>
                            <w:instrText xml:space="preserve"> PAGE  \* MERGEFORMAT </w:instrText>
                          </w:r>
                          <w:r>
                            <w:fldChar w:fldCharType="separate"/>
                          </w:r>
                          <w:r w:rsidR="00C87D26">
                            <w:rPr>
                              <w:noProof/>
                            </w:rP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F70B04"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5hZQIAABEFAAAOAAAAZHJzL2Uyb0RvYy54bWysVE1uEzEU3iNxB8t7OmlR2y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9PJ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6y/5hZQIAABEFAAAOAAAAAAAAAAAAAAAAAC4CAABkcnMvZTJvRG9j&#10;LnhtbFBLAQItABQABgAIAAAAIQBxqtG51wAAAAUBAAAPAAAAAAAAAAAAAAAAAL8EAABkcnMvZG93&#10;bnJldi54bWxQSwUGAAAAAAQABADzAAAAwwUAAAAA&#10;" filled="f" stroked="f" strokeweight=".5pt">
              <v:textbox style="mso-fit-shape-to-text:t" inset="0,0,0,0">
                <w:txbxContent>
                  <w:p w14:paraId="774DDDC1" w14:textId="30B744CF" w:rsidR="00DF17C0" w:rsidRDefault="00DF17C0">
                    <w:pPr>
                      <w:pStyle w:val="ad"/>
                    </w:pPr>
                    <w:r>
                      <w:fldChar w:fldCharType="begin"/>
                    </w:r>
                    <w:r>
                      <w:instrText xml:space="preserve"> PAGE  \* MERGEFORMAT </w:instrText>
                    </w:r>
                    <w:r>
                      <w:fldChar w:fldCharType="separate"/>
                    </w:r>
                    <w:r w:rsidR="00C87D26">
                      <w:rPr>
                        <w:noProof/>
                      </w:rPr>
                      <w:t>19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104A78" w14:textId="77777777" w:rsidR="00745BB1" w:rsidRDefault="00745BB1">
      <w:r>
        <w:separator/>
      </w:r>
    </w:p>
  </w:footnote>
  <w:footnote w:type="continuationSeparator" w:id="0">
    <w:p w14:paraId="7F40E4A5" w14:textId="77777777" w:rsidR="00745BB1" w:rsidRDefault="00745BB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358CE22"/>
    <w:multiLevelType w:val="singleLevel"/>
    <w:tmpl w:val="D358CE22"/>
    <w:lvl w:ilvl="0">
      <w:start w:val="1"/>
      <w:numFmt w:val="decimal"/>
      <w:lvlText w:val="(%1)"/>
      <w:lvlJc w:val="left"/>
      <w:pPr>
        <w:ind w:left="425" w:hanging="425"/>
      </w:pPr>
      <w:rPr>
        <w:rFonts w:hint="default"/>
      </w:rPr>
    </w:lvl>
  </w:abstractNum>
  <w:abstractNum w:abstractNumId="1" w15:restartNumberingAfterBreak="0">
    <w:nsid w:val="22D0D666"/>
    <w:multiLevelType w:val="singleLevel"/>
    <w:tmpl w:val="22D0D666"/>
    <w:lvl w:ilvl="0">
      <w:start w:val="1"/>
      <w:numFmt w:val="decimal"/>
      <w:lvlText w:val="(%1)"/>
      <w:lvlJc w:val="left"/>
      <w:pPr>
        <w:ind w:left="425" w:hanging="425"/>
      </w:pPr>
      <w:rPr>
        <w:rFonts w:hint="default"/>
      </w:rPr>
    </w:lvl>
  </w:abstractNum>
  <w:abstractNum w:abstractNumId="2" w15:restartNumberingAfterBreak="0">
    <w:nsid w:val="2552273D"/>
    <w:multiLevelType w:val="singleLevel"/>
    <w:tmpl w:val="2552273D"/>
    <w:lvl w:ilvl="0">
      <w:start w:val="1"/>
      <w:numFmt w:val="decimal"/>
      <w:lvlText w:val="(%1)"/>
      <w:lvlJc w:val="left"/>
      <w:pPr>
        <w:ind w:left="425" w:hanging="425"/>
      </w:pPr>
      <w:rPr>
        <w:rFonts w:hint="default"/>
      </w:rPr>
    </w:lvl>
  </w:abstractNum>
  <w:abstractNum w:abstractNumId="3" w15:restartNumberingAfterBreak="0">
    <w:nsid w:val="4AEB25CD"/>
    <w:multiLevelType w:val="singleLevel"/>
    <w:tmpl w:val="4AEB25CD"/>
    <w:lvl w:ilvl="0">
      <w:start w:val="1"/>
      <w:numFmt w:val="decimal"/>
      <w:lvlText w:val="(%1)"/>
      <w:lvlJc w:val="left"/>
      <w:pPr>
        <w:ind w:left="425" w:hanging="425"/>
      </w:pPr>
      <w:rPr>
        <w:rFonts w:hint="default"/>
      </w:rPr>
    </w:lvl>
  </w:abstractNum>
  <w:abstractNum w:abstractNumId="4" w15:restartNumberingAfterBreak="0">
    <w:nsid w:val="6EFA0FFD"/>
    <w:multiLevelType w:val="singleLevel"/>
    <w:tmpl w:val="6EFA0FFD"/>
    <w:lvl w:ilvl="0">
      <w:start w:val="1"/>
      <w:numFmt w:val="decimal"/>
      <w:lvlText w:val="(%1)"/>
      <w:lvlJc w:val="left"/>
      <w:pPr>
        <w:ind w:left="425" w:hanging="425"/>
      </w:pPr>
      <w:rPr>
        <w:rFont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5N2NlYzNkOGFiZDg2ZDQyNDgyMjAyMTRlZjJjYzQifQ=="/>
  </w:docVars>
  <w:rsids>
    <w:rsidRoot w:val="00552CCB"/>
    <w:rsid w:val="00005F02"/>
    <w:rsid w:val="000106D7"/>
    <w:rsid w:val="000107EC"/>
    <w:rsid w:val="000141A3"/>
    <w:rsid w:val="00014405"/>
    <w:rsid w:val="00014BE3"/>
    <w:rsid w:val="00014C75"/>
    <w:rsid w:val="00014D0C"/>
    <w:rsid w:val="000156D9"/>
    <w:rsid w:val="00016BB8"/>
    <w:rsid w:val="000209C9"/>
    <w:rsid w:val="00023A92"/>
    <w:rsid w:val="00027285"/>
    <w:rsid w:val="00031499"/>
    <w:rsid w:val="00037404"/>
    <w:rsid w:val="00037818"/>
    <w:rsid w:val="00037980"/>
    <w:rsid w:val="000428BD"/>
    <w:rsid w:val="00042A25"/>
    <w:rsid w:val="00042EEE"/>
    <w:rsid w:val="000436BA"/>
    <w:rsid w:val="00043FB7"/>
    <w:rsid w:val="00046B2A"/>
    <w:rsid w:val="00052219"/>
    <w:rsid w:val="000559C3"/>
    <w:rsid w:val="00055E92"/>
    <w:rsid w:val="00056FED"/>
    <w:rsid w:val="00062021"/>
    <w:rsid w:val="00062491"/>
    <w:rsid w:val="00066BF4"/>
    <w:rsid w:val="0006754D"/>
    <w:rsid w:val="0007041A"/>
    <w:rsid w:val="0007129A"/>
    <w:rsid w:val="00071F28"/>
    <w:rsid w:val="0007202F"/>
    <w:rsid w:val="0007356D"/>
    <w:rsid w:val="00074856"/>
    <w:rsid w:val="0008163D"/>
    <w:rsid w:val="0008253A"/>
    <w:rsid w:val="00083A77"/>
    <w:rsid w:val="00084B1A"/>
    <w:rsid w:val="00085146"/>
    <w:rsid w:val="00091CE8"/>
    <w:rsid w:val="00093120"/>
    <w:rsid w:val="00093258"/>
    <w:rsid w:val="00095704"/>
    <w:rsid w:val="00096A27"/>
    <w:rsid w:val="000A21D3"/>
    <w:rsid w:val="000A6FC1"/>
    <w:rsid w:val="000B1E50"/>
    <w:rsid w:val="000B201A"/>
    <w:rsid w:val="000B3431"/>
    <w:rsid w:val="000C0814"/>
    <w:rsid w:val="000C0905"/>
    <w:rsid w:val="000C152B"/>
    <w:rsid w:val="000C56E5"/>
    <w:rsid w:val="000C6BA3"/>
    <w:rsid w:val="000D17C9"/>
    <w:rsid w:val="000D1FEE"/>
    <w:rsid w:val="000D59DE"/>
    <w:rsid w:val="000D5AF7"/>
    <w:rsid w:val="000D6C86"/>
    <w:rsid w:val="000E216E"/>
    <w:rsid w:val="000E3173"/>
    <w:rsid w:val="000E3180"/>
    <w:rsid w:val="000E3608"/>
    <w:rsid w:val="000E7A8D"/>
    <w:rsid w:val="000F412A"/>
    <w:rsid w:val="000F6613"/>
    <w:rsid w:val="000F6C6B"/>
    <w:rsid w:val="00100BD0"/>
    <w:rsid w:val="00101973"/>
    <w:rsid w:val="00101CEC"/>
    <w:rsid w:val="001022CC"/>
    <w:rsid w:val="0010239C"/>
    <w:rsid w:val="00102F71"/>
    <w:rsid w:val="00104D11"/>
    <w:rsid w:val="00107051"/>
    <w:rsid w:val="00107257"/>
    <w:rsid w:val="00107894"/>
    <w:rsid w:val="00114D4A"/>
    <w:rsid w:val="00116A51"/>
    <w:rsid w:val="0011749D"/>
    <w:rsid w:val="001177F0"/>
    <w:rsid w:val="00117AD6"/>
    <w:rsid w:val="00122396"/>
    <w:rsid w:val="00125096"/>
    <w:rsid w:val="00126D6A"/>
    <w:rsid w:val="00127695"/>
    <w:rsid w:val="00127943"/>
    <w:rsid w:val="00130BF8"/>
    <w:rsid w:val="00130C38"/>
    <w:rsid w:val="00132302"/>
    <w:rsid w:val="00132BE4"/>
    <w:rsid w:val="00137C67"/>
    <w:rsid w:val="0014134F"/>
    <w:rsid w:val="0014323B"/>
    <w:rsid w:val="00143F59"/>
    <w:rsid w:val="00145C16"/>
    <w:rsid w:val="001522F9"/>
    <w:rsid w:val="001576A5"/>
    <w:rsid w:val="001657D8"/>
    <w:rsid w:val="001668C7"/>
    <w:rsid w:val="00166FFC"/>
    <w:rsid w:val="0017215B"/>
    <w:rsid w:val="001728EB"/>
    <w:rsid w:val="00175B0A"/>
    <w:rsid w:val="0017618D"/>
    <w:rsid w:val="0017761E"/>
    <w:rsid w:val="001823F2"/>
    <w:rsid w:val="001B0A60"/>
    <w:rsid w:val="001B0F1A"/>
    <w:rsid w:val="001B2AF0"/>
    <w:rsid w:val="001B687D"/>
    <w:rsid w:val="001B7022"/>
    <w:rsid w:val="001C0BC1"/>
    <w:rsid w:val="001C2ACF"/>
    <w:rsid w:val="001C66BC"/>
    <w:rsid w:val="001D03D4"/>
    <w:rsid w:val="001D09A0"/>
    <w:rsid w:val="001D1205"/>
    <w:rsid w:val="001D3E64"/>
    <w:rsid w:val="001D444B"/>
    <w:rsid w:val="001E0FA5"/>
    <w:rsid w:val="001E1968"/>
    <w:rsid w:val="001E33B7"/>
    <w:rsid w:val="001E5FF4"/>
    <w:rsid w:val="001E6B63"/>
    <w:rsid w:val="001E6CD7"/>
    <w:rsid w:val="001F3771"/>
    <w:rsid w:val="001F5108"/>
    <w:rsid w:val="001F690F"/>
    <w:rsid w:val="001F7A2C"/>
    <w:rsid w:val="0020267E"/>
    <w:rsid w:val="0020332E"/>
    <w:rsid w:val="00203D12"/>
    <w:rsid w:val="00204509"/>
    <w:rsid w:val="00205409"/>
    <w:rsid w:val="00205713"/>
    <w:rsid w:val="00206D6B"/>
    <w:rsid w:val="00210627"/>
    <w:rsid w:val="002140E3"/>
    <w:rsid w:val="00214195"/>
    <w:rsid w:val="002158ED"/>
    <w:rsid w:val="00216726"/>
    <w:rsid w:val="00217901"/>
    <w:rsid w:val="00217B60"/>
    <w:rsid w:val="002216DF"/>
    <w:rsid w:val="00221C8C"/>
    <w:rsid w:val="00222F9E"/>
    <w:rsid w:val="00225A43"/>
    <w:rsid w:val="0022731E"/>
    <w:rsid w:val="0023175F"/>
    <w:rsid w:val="00232474"/>
    <w:rsid w:val="00234CB5"/>
    <w:rsid w:val="002367C8"/>
    <w:rsid w:val="00244076"/>
    <w:rsid w:val="00244F0B"/>
    <w:rsid w:val="002464DB"/>
    <w:rsid w:val="002505F2"/>
    <w:rsid w:val="002521BB"/>
    <w:rsid w:val="00256509"/>
    <w:rsid w:val="002567AE"/>
    <w:rsid w:val="00256B29"/>
    <w:rsid w:val="002620B5"/>
    <w:rsid w:val="002621D3"/>
    <w:rsid w:val="00270B1B"/>
    <w:rsid w:val="00273F36"/>
    <w:rsid w:val="0027511C"/>
    <w:rsid w:val="00275823"/>
    <w:rsid w:val="00280105"/>
    <w:rsid w:val="00282CB6"/>
    <w:rsid w:val="00283722"/>
    <w:rsid w:val="00283A9C"/>
    <w:rsid w:val="00283AF1"/>
    <w:rsid w:val="00287B4C"/>
    <w:rsid w:val="00287F46"/>
    <w:rsid w:val="0029383A"/>
    <w:rsid w:val="002A0597"/>
    <w:rsid w:val="002A153D"/>
    <w:rsid w:val="002A34FB"/>
    <w:rsid w:val="002A4594"/>
    <w:rsid w:val="002B0046"/>
    <w:rsid w:val="002B1496"/>
    <w:rsid w:val="002B1B6B"/>
    <w:rsid w:val="002C013E"/>
    <w:rsid w:val="002C09EA"/>
    <w:rsid w:val="002C191C"/>
    <w:rsid w:val="002C4590"/>
    <w:rsid w:val="002D2CC5"/>
    <w:rsid w:val="002D64E1"/>
    <w:rsid w:val="002E6D49"/>
    <w:rsid w:val="002E70FB"/>
    <w:rsid w:val="002F1D9A"/>
    <w:rsid w:val="002F1FB2"/>
    <w:rsid w:val="002F3666"/>
    <w:rsid w:val="002F7781"/>
    <w:rsid w:val="002F7C1F"/>
    <w:rsid w:val="0030176E"/>
    <w:rsid w:val="003136AE"/>
    <w:rsid w:val="00313E15"/>
    <w:rsid w:val="00314EE7"/>
    <w:rsid w:val="00315056"/>
    <w:rsid w:val="00316F0E"/>
    <w:rsid w:val="003209EF"/>
    <w:rsid w:val="003210B5"/>
    <w:rsid w:val="003223F9"/>
    <w:rsid w:val="003235AA"/>
    <w:rsid w:val="00325D1A"/>
    <w:rsid w:val="0032781F"/>
    <w:rsid w:val="00333F0A"/>
    <w:rsid w:val="003364CD"/>
    <w:rsid w:val="00340C8E"/>
    <w:rsid w:val="003415A9"/>
    <w:rsid w:val="00342101"/>
    <w:rsid w:val="0035177F"/>
    <w:rsid w:val="003517AE"/>
    <w:rsid w:val="003561E9"/>
    <w:rsid w:val="00356280"/>
    <w:rsid w:val="00357469"/>
    <w:rsid w:val="0036050F"/>
    <w:rsid w:val="0036296B"/>
    <w:rsid w:val="00363BF9"/>
    <w:rsid w:val="00364077"/>
    <w:rsid w:val="00364169"/>
    <w:rsid w:val="00365065"/>
    <w:rsid w:val="00365394"/>
    <w:rsid w:val="00366C3B"/>
    <w:rsid w:val="00367DB1"/>
    <w:rsid w:val="00370E6A"/>
    <w:rsid w:val="00372E05"/>
    <w:rsid w:val="003738EB"/>
    <w:rsid w:val="00376470"/>
    <w:rsid w:val="00380257"/>
    <w:rsid w:val="00380399"/>
    <w:rsid w:val="003820CE"/>
    <w:rsid w:val="0038599A"/>
    <w:rsid w:val="00385CF5"/>
    <w:rsid w:val="003863B6"/>
    <w:rsid w:val="00393A4B"/>
    <w:rsid w:val="0039704D"/>
    <w:rsid w:val="0039743C"/>
    <w:rsid w:val="003A3E8E"/>
    <w:rsid w:val="003A61D6"/>
    <w:rsid w:val="003B2194"/>
    <w:rsid w:val="003B240A"/>
    <w:rsid w:val="003B3655"/>
    <w:rsid w:val="003B4EDD"/>
    <w:rsid w:val="003B50E1"/>
    <w:rsid w:val="003C1B3E"/>
    <w:rsid w:val="003C20E6"/>
    <w:rsid w:val="003C235D"/>
    <w:rsid w:val="003C2DEB"/>
    <w:rsid w:val="003C2F48"/>
    <w:rsid w:val="003C30EF"/>
    <w:rsid w:val="003C3C90"/>
    <w:rsid w:val="003C5A81"/>
    <w:rsid w:val="003C67A3"/>
    <w:rsid w:val="003C6E19"/>
    <w:rsid w:val="003D0785"/>
    <w:rsid w:val="003D0ADA"/>
    <w:rsid w:val="003D24E0"/>
    <w:rsid w:val="003D6E5F"/>
    <w:rsid w:val="003D6E63"/>
    <w:rsid w:val="003D7086"/>
    <w:rsid w:val="003D778D"/>
    <w:rsid w:val="003E0EAC"/>
    <w:rsid w:val="003E25E9"/>
    <w:rsid w:val="003E282D"/>
    <w:rsid w:val="003E5B9D"/>
    <w:rsid w:val="003E619A"/>
    <w:rsid w:val="003E62E1"/>
    <w:rsid w:val="003F26BF"/>
    <w:rsid w:val="003F38FA"/>
    <w:rsid w:val="003F6115"/>
    <w:rsid w:val="003F76F1"/>
    <w:rsid w:val="004056F9"/>
    <w:rsid w:val="00407ACF"/>
    <w:rsid w:val="00411EC2"/>
    <w:rsid w:val="0041203E"/>
    <w:rsid w:val="00412CB2"/>
    <w:rsid w:val="0041673C"/>
    <w:rsid w:val="00417D16"/>
    <w:rsid w:val="00425F13"/>
    <w:rsid w:val="00427C8A"/>
    <w:rsid w:val="00430B01"/>
    <w:rsid w:val="004311E8"/>
    <w:rsid w:val="004339DF"/>
    <w:rsid w:val="00436366"/>
    <w:rsid w:val="004412E4"/>
    <w:rsid w:val="004464B7"/>
    <w:rsid w:val="0044652B"/>
    <w:rsid w:val="00451371"/>
    <w:rsid w:val="00456A15"/>
    <w:rsid w:val="00457BB4"/>
    <w:rsid w:val="00461904"/>
    <w:rsid w:val="0046244C"/>
    <w:rsid w:val="00462A74"/>
    <w:rsid w:val="00466BFC"/>
    <w:rsid w:val="00470CBF"/>
    <w:rsid w:val="004734B3"/>
    <w:rsid w:val="00474712"/>
    <w:rsid w:val="00475401"/>
    <w:rsid w:val="00477B4A"/>
    <w:rsid w:val="004805E0"/>
    <w:rsid w:val="00481F09"/>
    <w:rsid w:val="004836AD"/>
    <w:rsid w:val="00483A2F"/>
    <w:rsid w:val="0049254D"/>
    <w:rsid w:val="00493A17"/>
    <w:rsid w:val="004A0050"/>
    <w:rsid w:val="004A0749"/>
    <w:rsid w:val="004A1A63"/>
    <w:rsid w:val="004A2093"/>
    <w:rsid w:val="004A26BE"/>
    <w:rsid w:val="004A4507"/>
    <w:rsid w:val="004B0A2F"/>
    <w:rsid w:val="004B2B0E"/>
    <w:rsid w:val="004B76D3"/>
    <w:rsid w:val="004B7793"/>
    <w:rsid w:val="004C0D1D"/>
    <w:rsid w:val="004C14BD"/>
    <w:rsid w:val="004C591B"/>
    <w:rsid w:val="004E0C8D"/>
    <w:rsid w:val="004E0CA8"/>
    <w:rsid w:val="004E306E"/>
    <w:rsid w:val="004E52E8"/>
    <w:rsid w:val="004E5621"/>
    <w:rsid w:val="004E71FF"/>
    <w:rsid w:val="004E7254"/>
    <w:rsid w:val="004F5ED3"/>
    <w:rsid w:val="004F7098"/>
    <w:rsid w:val="00500435"/>
    <w:rsid w:val="00501CDD"/>
    <w:rsid w:val="00503AC8"/>
    <w:rsid w:val="005045C5"/>
    <w:rsid w:val="0050533A"/>
    <w:rsid w:val="00507836"/>
    <w:rsid w:val="00511C1D"/>
    <w:rsid w:val="005147D9"/>
    <w:rsid w:val="00514ECE"/>
    <w:rsid w:val="005159E9"/>
    <w:rsid w:val="0052005B"/>
    <w:rsid w:val="00520819"/>
    <w:rsid w:val="005223A4"/>
    <w:rsid w:val="005238B4"/>
    <w:rsid w:val="00526BD9"/>
    <w:rsid w:val="00527230"/>
    <w:rsid w:val="00527381"/>
    <w:rsid w:val="00530616"/>
    <w:rsid w:val="005307DB"/>
    <w:rsid w:val="00531771"/>
    <w:rsid w:val="00532F74"/>
    <w:rsid w:val="00533B7B"/>
    <w:rsid w:val="00543408"/>
    <w:rsid w:val="0054458F"/>
    <w:rsid w:val="00547928"/>
    <w:rsid w:val="005509E7"/>
    <w:rsid w:val="00550C71"/>
    <w:rsid w:val="00552169"/>
    <w:rsid w:val="00552A33"/>
    <w:rsid w:val="00552CCB"/>
    <w:rsid w:val="00556878"/>
    <w:rsid w:val="005576FE"/>
    <w:rsid w:val="0056037A"/>
    <w:rsid w:val="00561A63"/>
    <w:rsid w:val="00565186"/>
    <w:rsid w:val="00567F87"/>
    <w:rsid w:val="0057654D"/>
    <w:rsid w:val="00583D71"/>
    <w:rsid w:val="00586EC5"/>
    <w:rsid w:val="00587B4D"/>
    <w:rsid w:val="00591B16"/>
    <w:rsid w:val="00597D46"/>
    <w:rsid w:val="005A11E0"/>
    <w:rsid w:val="005A1862"/>
    <w:rsid w:val="005A1FC8"/>
    <w:rsid w:val="005A52A1"/>
    <w:rsid w:val="005A745C"/>
    <w:rsid w:val="005B0CCB"/>
    <w:rsid w:val="005B0F25"/>
    <w:rsid w:val="005B4A54"/>
    <w:rsid w:val="005B5E7A"/>
    <w:rsid w:val="005B65B8"/>
    <w:rsid w:val="005B743F"/>
    <w:rsid w:val="005B7532"/>
    <w:rsid w:val="005C03E6"/>
    <w:rsid w:val="005C1E96"/>
    <w:rsid w:val="005C464E"/>
    <w:rsid w:val="005C5DFC"/>
    <w:rsid w:val="005C71C5"/>
    <w:rsid w:val="005C770C"/>
    <w:rsid w:val="005D0467"/>
    <w:rsid w:val="005D11F0"/>
    <w:rsid w:val="005D18F6"/>
    <w:rsid w:val="005D442A"/>
    <w:rsid w:val="005D4DA3"/>
    <w:rsid w:val="005D5624"/>
    <w:rsid w:val="005D610A"/>
    <w:rsid w:val="005E0DF0"/>
    <w:rsid w:val="005E189B"/>
    <w:rsid w:val="005E2FF6"/>
    <w:rsid w:val="005E3419"/>
    <w:rsid w:val="005E3FB2"/>
    <w:rsid w:val="005E627C"/>
    <w:rsid w:val="005E6F2F"/>
    <w:rsid w:val="005F012D"/>
    <w:rsid w:val="005F0CA6"/>
    <w:rsid w:val="005F1AA1"/>
    <w:rsid w:val="005F221B"/>
    <w:rsid w:val="005F26E8"/>
    <w:rsid w:val="005F40DE"/>
    <w:rsid w:val="005F42C5"/>
    <w:rsid w:val="005F6D11"/>
    <w:rsid w:val="005F7024"/>
    <w:rsid w:val="0060046E"/>
    <w:rsid w:val="0060055C"/>
    <w:rsid w:val="0060330F"/>
    <w:rsid w:val="006039BB"/>
    <w:rsid w:val="00604C7B"/>
    <w:rsid w:val="00605F47"/>
    <w:rsid w:val="00606DA2"/>
    <w:rsid w:val="00611747"/>
    <w:rsid w:val="00612C29"/>
    <w:rsid w:val="00613002"/>
    <w:rsid w:val="00613688"/>
    <w:rsid w:val="00616872"/>
    <w:rsid w:val="00617DB1"/>
    <w:rsid w:val="00620347"/>
    <w:rsid w:val="006230F0"/>
    <w:rsid w:val="0062458F"/>
    <w:rsid w:val="006255DE"/>
    <w:rsid w:val="0062582F"/>
    <w:rsid w:val="00626D78"/>
    <w:rsid w:val="00627B8E"/>
    <w:rsid w:val="00627E17"/>
    <w:rsid w:val="00630C12"/>
    <w:rsid w:val="00632845"/>
    <w:rsid w:val="006333AF"/>
    <w:rsid w:val="00634218"/>
    <w:rsid w:val="006376D9"/>
    <w:rsid w:val="00642D98"/>
    <w:rsid w:val="006433ED"/>
    <w:rsid w:val="0064582C"/>
    <w:rsid w:val="00645BD9"/>
    <w:rsid w:val="00646351"/>
    <w:rsid w:val="00646359"/>
    <w:rsid w:val="0065005E"/>
    <w:rsid w:val="0065050A"/>
    <w:rsid w:val="00651016"/>
    <w:rsid w:val="006513FE"/>
    <w:rsid w:val="00651D25"/>
    <w:rsid w:val="00653C7B"/>
    <w:rsid w:val="0065472A"/>
    <w:rsid w:val="0065631C"/>
    <w:rsid w:val="0066277C"/>
    <w:rsid w:val="00662C22"/>
    <w:rsid w:val="00671709"/>
    <w:rsid w:val="00671AD7"/>
    <w:rsid w:val="006745D6"/>
    <w:rsid w:val="00676EFA"/>
    <w:rsid w:val="00676F66"/>
    <w:rsid w:val="00681978"/>
    <w:rsid w:val="00681B36"/>
    <w:rsid w:val="00682F3F"/>
    <w:rsid w:val="0068465B"/>
    <w:rsid w:val="0068490C"/>
    <w:rsid w:val="00685D00"/>
    <w:rsid w:val="00686B19"/>
    <w:rsid w:val="006924FB"/>
    <w:rsid w:val="00697060"/>
    <w:rsid w:val="00697D4D"/>
    <w:rsid w:val="006A204A"/>
    <w:rsid w:val="006B2D35"/>
    <w:rsid w:val="006B3419"/>
    <w:rsid w:val="006B4942"/>
    <w:rsid w:val="006B5645"/>
    <w:rsid w:val="006B567E"/>
    <w:rsid w:val="006B736D"/>
    <w:rsid w:val="006C0517"/>
    <w:rsid w:val="006C434C"/>
    <w:rsid w:val="006C57AC"/>
    <w:rsid w:val="006D0D7B"/>
    <w:rsid w:val="006D311A"/>
    <w:rsid w:val="006D54CF"/>
    <w:rsid w:val="006E062A"/>
    <w:rsid w:val="006E134B"/>
    <w:rsid w:val="006E1B89"/>
    <w:rsid w:val="006E1C21"/>
    <w:rsid w:val="006E5F66"/>
    <w:rsid w:val="006E616F"/>
    <w:rsid w:val="006E6265"/>
    <w:rsid w:val="006F0448"/>
    <w:rsid w:val="006F4830"/>
    <w:rsid w:val="006F7167"/>
    <w:rsid w:val="0070432C"/>
    <w:rsid w:val="0070544A"/>
    <w:rsid w:val="007061F2"/>
    <w:rsid w:val="007062CE"/>
    <w:rsid w:val="007105D4"/>
    <w:rsid w:val="00710D7C"/>
    <w:rsid w:val="00715971"/>
    <w:rsid w:val="0072065E"/>
    <w:rsid w:val="00723A7F"/>
    <w:rsid w:val="00735556"/>
    <w:rsid w:val="00737870"/>
    <w:rsid w:val="00742138"/>
    <w:rsid w:val="007451E3"/>
    <w:rsid w:val="00745BB1"/>
    <w:rsid w:val="00746AE1"/>
    <w:rsid w:val="007527F9"/>
    <w:rsid w:val="00753FC4"/>
    <w:rsid w:val="00754377"/>
    <w:rsid w:val="0075595F"/>
    <w:rsid w:val="007564E2"/>
    <w:rsid w:val="00761327"/>
    <w:rsid w:val="00764196"/>
    <w:rsid w:val="00772F6C"/>
    <w:rsid w:val="00773CE9"/>
    <w:rsid w:val="00780EBD"/>
    <w:rsid w:val="00780FDB"/>
    <w:rsid w:val="00782D76"/>
    <w:rsid w:val="00786DDE"/>
    <w:rsid w:val="00787237"/>
    <w:rsid w:val="00787D32"/>
    <w:rsid w:val="00792ABE"/>
    <w:rsid w:val="007A4FFD"/>
    <w:rsid w:val="007A7BFA"/>
    <w:rsid w:val="007B0920"/>
    <w:rsid w:val="007B0DCD"/>
    <w:rsid w:val="007B24A9"/>
    <w:rsid w:val="007B3F34"/>
    <w:rsid w:val="007C2E5A"/>
    <w:rsid w:val="007C3770"/>
    <w:rsid w:val="007C3B71"/>
    <w:rsid w:val="007C56B2"/>
    <w:rsid w:val="007D21F7"/>
    <w:rsid w:val="007D65B4"/>
    <w:rsid w:val="007D7C3F"/>
    <w:rsid w:val="007E3074"/>
    <w:rsid w:val="007E32F0"/>
    <w:rsid w:val="007E4C43"/>
    <w:rsid w:val="007E5419"/>
    <w:rsid w:val="007E66C2"/>
    <w:rsid w:val="007E799A"/>
    <w:rsid w:val="007F111D"/>
    <w:rsid w:val="007F28F2"/>
    <w:rsid w:val="007F4471"/>
    <w:rsid w:val="007F6E45"/>
    <w:rsid w:val="007F780A"/>
    <w:rsid w:val="00804D7A"/>
    <w:rsid w:val="00805E3E"/>
    <w:rsid w:val="00806DC3"/>
    <w:rsid w:val="00810562"/>
    <w:rsid w:val="0081334C"/>
    <w:rsid w:val="008138B1"/>
    <w:rsid w:val="00813D4E"/>
    <w:rsid w:val="00815E67"/>
    <w:rsid w:val="0082011A"/>
    <w:rsid w:val="00820D7B"/>
    <w:rsid w:val="00824366"/>
    <w:rsid w:val="00831000"/>
    <w:rsid w:val="00831BAC"/>
    <w:rsid w:val="0083307F"/>
    <w:rsid w:val="008340D7"/>
    <w:rsid w:val="00836535"/>
    <w:rsid w:val="00840DE2"/>
    <w:rsid w:val="00843562"/>
    <w:rsid w:val="00844028"/>
    <w:rsid w:val="0084464F"/>
    <w:rsid w:val="0084467C"/>
    <w:rsid w:val="00844681"/>
    <w:rsid w:val="00850A81"/>
    <w:rsid w:val="008518D6"/>
    <w:rsid w:val="0085240F"/>
    <w:rsid w:val="00853FDC"/>
    <w:rsid w:val="008614F3"/>
    <w:rsid w:val="00865092"/>
    <w:rsid w:val="008723BB"/>
    <w:rsid w:val="00872756"/>
    <w:rsid w:val="008738FF"/>
    <w:rsid w:val="0087434D"/>
    <w:rsid w:val="008758F6"/>
    <w:rsid w:val="00883E74"/>
    <w:rsid w:val="00886001"/>
    <w:rsid w:val="00895349"/>
    <w:rsid w:val="008A1C89"/>
    <w:rsid w:val="008A72C2"/>
    <w:rsid w:val="008A772E"/>
    <w:rsid w:val="008A77A6"/>
    <w:rsid w:val="008B2D41"/>
    <w:rsid w:val="008B4A96"/>
    <w:rsid w:val="008B5916"/>
    <w:rsid w:val="008B6A77"/>
    <w:rsid w:val="008B7214"/>
    <w:rsid w:val="008D1670"/>
    <w:rsid w:val="008D4A67"/>
    <w:rsid w:val="008D66AB"/>
    <w:rsid w:val="008E11E4"/>
    <w:rsid w:val="008E2F42"/>
    <w:rsid w:val="008E3AE4"/>
    <w:rsid w:val="008E4050"/>
    <w:rsid w:val="008E506F"/>
    <w:rsid w:val="008E7036"/>
    <w:rsid w:val="008F3907"/>
    <w:rsid w:val="008F3F36"/>
    <w:rsid w:val="008F7242"/>
    <w:rsid w:val="00901F55"/>
    <w:rsid w:val="00903E0C"/>
    <w:rsid w:val="00905C7A"/>
    <w:rsid w:val="00905CA9"/>
    <w:rsid w:val="00910563"/>
    <w:rsid w:val="00910AD0"/>
    <w:rsid w:val="00910BB9"/>
    <w:rsid w:val="00912E35"/>
    <w:rsid w:val="0091346D"/>
    <w:rsid w:val="00920520"/>
    <w:rsid w:val="00922C37"/>
    <w:rsid w:val="00922D7A"/>
    <w:rsid w:val="00922E0D"/>
    <w:rsid w:val="00923621"/>
    <w:rsid w:val="0092676E"/>
    <w:rsid w:val="00926CBC"/>
    <w:rsid w:val="0093607B"/>
    <w:rsid w:val="00941B63"/>
    <w:rsid w:val="00942E0B"/>
    <w:rsid w:val="009479A2"/>
    <w:rsid w:val="00947A88"/>
    <w:rsid w:val="00950927"/>
    <w:rsid w:val="009516A0"/>
    <w:rsid w:val="00951D67"/>
    <w:rsid w:val="00952524"/>
    <w:rsid w:val="009525F3"/>
    <w:rsid w:val="009568E1"/>
    <w:rsid w:val="009617A3"/>
    <w:rsid w:val="00966042"/>
    <w:rsid w:val="00972E11"/>
    <w:rsid w:val="009730D0"/>
    <w:rsid w:val="00973D79"/>
    <w:rsid w:val="00976051"/>
    <w:rsid w:val="00976194"/>
    <w:rsid w:val="00980965"/>
    <w:rsid w:val="00983D29"/>
    <w:rsid w:val="00983EC2"/>
    <w:rsid w:val="00992C48"/>
    <w:rsid w:val="00994EDA"/>
    <w:rsid w:val="00996D63"/>
    <w:rsid w:val="00997CAB"/>
    <w:rsid w:val="00997EB6"/>
    <w:rsid w:val="009A2324"/>
    <w:rsid w:val="009A353C"/>
    <w:rsid w:val="009A5970"/>
    <w:rsid w:val="009B1D0F"/>
    <w:rsid w:val="009B2D19"/>
    <w:rsid w:val="009B7AFF"/>
    <w:rsid w:val="009C3642"/>
    <w:rsid w:val="009C6FE3"/>
    <w:rsid w:val="009D36B3"/>
    <w:rsid w:val="009D3DFA"/>
    <w:rsid w:val="009D5128"/>
    <w:rsid w:val="009D5D04"/>
    <w:rsid w:val="009E0844"/>
    <w:rsid w:val="009E4F5A"/>
    <w:rsid w:val="009E691F"/>
    <w:rsid w:val="009E75C7"/>
    <w:rsid w:val="009F232A"/>
    <w:rsid w:val="00A05AD1"/>
    <w:rsid w:val="00A0604E"/>
    <w:rsid w:val="00A10577"/>
    <w:rsid w:val="00A11937"/>
    <w:rsid w:val="00A203D7"/>
    <w:rsid w:val="00A20B0F"/>
    <w:rsid w:val="00A26068"/>
    <w:rsid w:val="00A317FB"/>
    <w:rsid w:val="00A31FF4"/>
    <w:rsid w:val="00A464EF"/>
    <w:rsid w:val="00A478F7"/>
    <w:rsid w:val="00A503AE"/>
    <w:rsid w:val="00A50FA5"/>
    <w:rsid w:val="00A52DDE"/>
    <w:rsid w:val="00A5325C"/>
    <w:rsid w:val="00A556CC"/>
    <w:rsid w:val="00A61376"/>
    <w:rsid w:val="00A63597"/>
    <w:rsid w:val="00A6480A"/>
    <w:rsid w:val="00A677B8"/>
    <w:rsid w:val="00A71C8B"/>
    <w:rsid w:val="00A73C2C"/>
    <w:rsid w:val="00A76D15"/>
    <w:rsid w:val="00A80572"/>
    <w:rsid w:val="00A82BB8"/>
    <w:rsid w:val="00A872C3"/>
    <w:rsid w:val="00A90358"/>
    <w:rsid w:val="00A90890"/>
    <w:rsid w:val="00A914B7"/>
    <w:rsid w:val="00AA0EFE"/>
    <w:rsid w:val="00AB08D8"/>
    <w:rsid w:val="00AB3B15"/>
    <w:rsid w:val="00AB7525"/>
    <w:rsid w:val="00AB76A9"/>
    <w:rsid w:val="00AC3E54"/>
    <w:rsid w:val="00AC7972"/>
    <w:rsid w:val="00AC7A32"/>
    <w:rsid w:val="00AD2734"/>
    <w:rsid w:val="00AD45ED"/>
    <w:rsid w:val="00AD47FC"/>
    <w:rsid w:val="00AE5B0B"/>
    <w:rsid w:val="00AE66B7"/>
    <w:rsid w:val="00AE7524"/>
    <w:rsid w:val="00AF5AB8"/>
    <w:rsid w:val="00B03495"/>
    <w:rsid w:val="00B049FA"/>
    <w:rsid w:val="00B12D4F"/>
    <w:rsid w:val="00B12EC8"/>
    <w:rsid w:val="00B13317"/>
    <w:rsid w:val="00B13ED6"/>
    <w:rsid w:val="00B1459F"/>
    <w:rsid w:val="00B240D8"/>
    <w:rsid w:val="00B3274A"/>
    <w:rsid w:val="00B32A05"/>
    <w:rsid w:val="00B34B8F"/>
    <w:rsid w:val="00B370F2"/>
    <w:rsid w:val="00B376A3"/>
    <w:rsid w:val="00B37F3D"/>
    <w:rsid w:val="00B40155"/>
    <w:rsid w:val="00B42A85"/>
    <w:rsid w:val="00B4586E"/>
    <w:rsid w:val="00B55429"/>
    <w:rsid w:val="00B55606"/>
    <w:rsid w:val="00B567B6"/>
    <w:rsid w:val="00B57297"/>
    <w:rsid w:val="00B61FF9"/>
    <w:rsid w:val="00B636AD"/>
    <w:rsid w:val="00B64AF8"/>
    <w:rsid w:val="00B66D6A"/>
    <w:rsid w:val="00B7274F"/>
    <w:rsid w:val="00B72B34"/>
    <w:rsid w:val="00B73796"/>
    <w:rsid w:val="00B74A93"/>
    <w:rsid w:val="00B761D9"/>
    <w:rsid w:val="00B76F64"/>
    <w:rsid w:val="00B808A6"/>
    <w:rsid w:val="00B80908"/>
    <w:rsid w:val="00B87E0B"/>
    <w:rsid w:val="00B90203"/>
    <w:rsid w:val="00B904B9"/>
    <w:rsid w:val="00B92165"/>
    <w:rsid w:val="00B96F45"/>
    <w:rsid w:val="00BA02C5"/>
    <w:rsid w:val="00BA1995"/>
    <w:rsid w:val="00BA7CDA"/>
    <w:rsid w:val="00BB2312"/>
    <w:rsid w:val="00BB5ABE"/>
    <w:rsid w:val="00BB6B31"/>
    <w:rsid w:val="00BC0B11"/>
    <w:rsid w:val="00BC0C4E"/>
    <w:rsid w:val="00BC11DF"/>
    <w:rsid w:val="00BC397C"/>
    <w:rsid w:val="00BC3CE2"/>
    <w:rsid w:val="00BD1B35"/>
    <w:rsid w:val="00BD3BAD"/>
    <w:rsid w:val="00BD525A"/>
    <w:rsid w:val="00BD541B"/>
    <w:rsid w:val="00BD6014"/>
    <w:rsid w:val="00BE198C"/>
    <w:rsid w:val="00BE1C4B"/>
    <w:rsid w:val="00BE3072"/>
    <w:rsid w:val="00BE46D4"/>
    <w:rsid w:val="00BF5214"/>
    <w:rsid w:val="00C00B3A"/>
    <w:rsid w:val="00C035C8"/>
    <w:rsid w:val="00C05846"/>
    <w:rsid w:val="00C06542"/>
    <w:rsid w:val="00C0682C"/>
    <w:rsid w:val="00C06897"/>
    <w:rsid w:val="00C06901"/>
    <w:rsid w:val="00C118AC"/>
    <w:rsid w:val="00C1212B"/>
    <w:rsid w:val="00C13317"/>
    <w:rsid w:val="00C14EA9"/>
    <w:rsid w:val="00C15165"/>
    <w:rsid w:val="00C24AF3"/>
    <w:rsid w:val="00C25680"/>
    <w:rsid w:val="00C25D19"/>
    <w:rsid w:val="00C273BD"/>
    <w:rsid w:val="00C278D4"/>
    <w:rsid w:val="00C338E1"/>
    <w:rsid w:val="00C34241"/>
    <w:rsid w:val="00C376E3"/>
    <w:rsid w:val="00C37C51"/>
    <w:rsid w:val="00C43781"/>
    <w:rsid w:val="00C44C0D"/>
    <w:rsid w:val="00C51A27"/>
    <w:rsid w:val="00C520BD"/>
    <w:rsid w:val="00C532F3"/>
    <w:rsid w:val="00C55C37"/>
    <w:rsid w:val="00C566E5"/>
    <w:rsid w:val="00C619B7"/>
    <w:rsid w:val="00C747D9"/>
    <w:rsid w:val="00C7649F"/>
    <w:rsid w:val="00C80CE4"/>
    <w:rsid w:val="00C817DF"/>
    <w:rsid w:val="00C87D26"/>
    <w:rsid w:val="00C90910"/>
    <w:rsid w:val="00C958BD"/>
    <w:rsid w:val="00CA720A"/>
    <w:rsid w:val="00CB0D84"/>
    <w:rsid w:val="00CB1E25"/>
    <w:rsid w:val="00CB2DF1"/>
    <w:rsid w:val="00CB3F93"/>
    <w:rsid w:val="00CB595B"/>
    <w:rsid w:val="00CB77F3"/>
    <w:rsid w:val="00CC0307"/>
    <w:rsid w:val="00CC366E"/>
    <w:rsid w:val="00CC4FBA"/>
    <w:rsid w:val="00CD2731"/>
    <w:rsid w:val="00CD2AB3"/>
    <w:rsid w:val="00CD4292"/>
    <w:rsid w:val="00CD6F6B"/>
    <w:rsid w:val="00CE187B"/>
    <w:rsid w:val="00CE1CA2"/>
    <w:rsid w:val="00CE4A8F"/>
    <w:rsid w:val="00CE4E3E"/>
    <w:rsid w:val="00CE502A"/>
    <w:rsid w:val="00CF0833"/>
    <w:rsid w:val="00CF1814"/>
    <w:rsid w:val="00CF2048"/>
    <w:rsid w:val="00CF2E69"/>
    <w:rsid w:val="00CF3D21"/>
    <w:rsid w:val="00CF6A4F"/>
    <w:rsid w:val="00D00E0C"/>
    <w:rsid w:val="00D039C5"/>
    <w:rsid w:val="00D03C31"/>
    <w:rsid w:val="00D055B6"/>
    <w:rsid w:val="00D12554"/>
    <w:rsid w:val="00D15D80"/>
    <w:rsid w:val="00D162D6"/>
    <w:rsid w:val="00D167CB"/>
    <w:rsid w:val="00D21E50"/>
    <w:rsid w:val="00D2295B"/>
    <w:rsid w:val="00D23C7C"/>
    <w:rsid w:val="00D25D94"/>
    <w:rsid w:val="00D25E46"/>
    <w:rsid w:val="00D267C4"/>
    <w:rsid w:val="00D3342A"/>
    <w:rsid w:val="00D339ED"/>
    <w:rsid w:val="00D348CE"/>
    <w:rsid w:val="00D40F8E"/>
    <w:rsid w:val="00D4246A"/>
    <w:rsid w:val="00D42F8D"/>
    <w:rsid w:val="00D439EE"/>
    <w:rsid w:val="00D460AB"/>
    <w:rsid w:val="00D46BE4"/>
    <w:rsid w:val="00D470C6"/>
    <w:rsid w:val="00D47741"/>
    <w:rsid w:val="00D50322"/>
    <w:rsid w:val="00D52033"/>
    <w:rsid w:val="00D70894"/>
    <w:rsid w:val="00D70AB1"/>
    <w:rsid w:val="00D70D00"/>
    <w:rsid w:val="00D71350"/>
    <w:rsid w:val="00D71EE6"/>
    <w:rsid w:val="00D736CF"/>
    <w:rsid w:val="00D755AF"/>
    <w:rsid w:val="00D770F3"/>
    <w:rsid w:val="00D836E6"/>
    <w:rsid w:val="00D91550"/>
    <w:rsid w:val="00D91FE9"/>
    <w:rsid w:val="00D92CE3"/>
    <w:rsid w:val="00D9729F"/>
    <w:rsid w:val="00D9774E"/>
    <w:rsid w:val="00DA3524"/>
    <w:rsid w:val="00DA5776"/>
    <w:rsid w:val="00DA7F7F"/>
    <w:rsid w:val="00DB04E6"/>
    <w:rsid w:val="00DB25B9"/>
    <w:rsid w:val="00DB361A"/>
    <w:rsid w:val="00DB6281"/>
    <w:rsid w:val="00DC33C9"/>
    <w:rsid w:val="00DC3413"/>
    <w:rsid w:val="00DC357F"/>
    <w:rsid w:val="00DC44B4"/>
    <w:rsid w:val="00DC4DFF"/>
    <w:rsid w:val="00DC5A71"/>
    <w:rsid w:val="00DD3B63"/>
    <w:rsid w:val="00DE619A"/>
    <w:rsid w:val="00DE67D8"/>
    <w:rsid w:val="00DE7037"/>
    <w:rsid w:val="00DE723D"/>
    <w:rsid w:val="00DE7D0B"/>
    <w:rsid w:val="00DE7DCF"/>
    <w:rsid w:val="00DF1530"/>
    <w:rsid w:val="00DF17C0"/>
    <w:rsid w:val="00DF29C3"/>
    <w:rsid w:val="00DF33B1"/>
    <w:rsid w:val="00DF447B"/>
    <w:rsid w:val="00DF72C9"/>
    <w:rsid w:val="00DF7F47"/>
    <w:rsid w:val="00E000EB"/>
    <w:rsid w:val="00E02E28"/>
    <w:rsid w:val="00E069ED"/>
    <w:rsid w:val="00E110A5"/>
    <w:rsid w:val="00E11792"/>
    <w:rsid w:val="00E142BD"/>
    <w:rsid w:val="00E14D31"/>
    <w:rsid w:val="00E17866"/>
    <w:rsid w:val="00E20017"/>
    <w:rsid w:val="00E203DC"/>
    <w:rsid w:val="00E215FC"/>
    <w:rsid w:val="00E221CE"/>
    <w:rsid w:val="00E24C6C"/>
    <w:rsid w:val="00E260C6"/>
    <w:rsid w:val="00E277B7"/>
    <w:rsid w:val="00E3149E"/>
    <w:rsid w:val="00E33EB6"/>
    <w:rsid w:val="00E45E88"/>
    <w:rsid w:val="00E47EEE"/>
    <w:rsid w:val="00E50A12"/>
    <w:rsid w:val="00E52566"/>
    <w:rsid w:val="00E53F89"/>
    <w:rsid w:val="00E54650"/>
    <w:rsid w:val="00E5491E"/>
    <w:rsid w:val="00E57F0F"/>
    <w:rsid w:val="00E60A25"/>
    <w:rsid w:val="00E60EE5"/>
    <w:rsid w:val="00E61384"/>
    <w:rsid w:val="00E6222D"/>
    <w:rsid w:val="00E62E4D"/>
    <w:rsid w:val="00E65237"/>
    <w:rsid w:val="00E658FF"/>
    <w:rsid w:val="00E65EFC"/>
    <w:rsid w:val="00E71B58"/>
    <w:rsid w:val="00E7318A"/>
    <w:rsid w:val="00E731E8"/>
    <w:rsid w:val="00E73C64"/>
    <w:rsid w:val="00E74001"/>
    <w:rsid w:val="00E7429F"/>
    <w:rsid w:val="00E758C6"/>
    <w:rsid w:val="00E75A03"/>
    <w:rsid w:val="00E771C4"/>
    <w:rsid w:val="00E779D8"/>
    <w:rsid w:val="00E809DB"/>
    <w:rsid w:val="00E82F49"/>
    <w:rsid w:val="00E83DCE"/>
    <w:rsid w:val="00E855F4"/>
    <w:rsid w:val="00E8622A"/>
    <w:rsid w:val="00E86688"/>
    <w:rsid w:val="00E86794"/>
    <w:rsid w:val="00E871B4"/>
    <w:rsid w:val="00E925E0"/>
    <w:rsid w:val="00EA0742"/>
    <w:rsid w:val="00EA0F07"/>
    <w:rsid w:val="00EA3D06"/>
    <w:rsid w:val="00EA5145"/>
    <w:rsid w:val="00EB39F5"/>
    <w:rsid w:val="00EB7169"/>
    <w:rsid w:val="00EC59F1"/>
    <w:rsid w:val="00ED07E9"/>
    <w:rsid w:val="00ED09FF"/>
    <w:rsid w:val="00ED2CDD"/>
    <w:rsid w:val="00ED7437"/>
    <w:rsid w:val="00ED748F"/>
    <w:rsid w:val="00ED799A"/>
    <w:rsid w:val="00EE0B39"/>
    <w:rsid w:val="00EE13AA"/>
    <w:rsid w:val="00EE2257"/>
    <w:rsid w:val="00EE4AEC"/>
    <w:rsid w:val="00EF5293"/>
    <w:rsid w:val="00EF5A21"/>
    <w:rsid w:val="00EF6B08"/>
    <w:rsid w:val="00F01138"/>
    <w:rsid w:val="00F02AC7"/>
    <w:rsid w:val="00F051C4"/>
    <w:rsid w:val="00F1088C"/>
    <w:rsid w:val="00F14DEF"/>
    <w:rsid w:val="00F206C1"/>
    <w:rsid w:val="00F21554"/>
    <w:rsid w:val="00F21570"/>
    <w:rsid w:val="00F30B66"/>
    <w:rsid w:val="00F3208D"/>
    <w:rsid w:val="00F32FC8"/>
    <w:rsid w:val="00F423C1"/>
    <w:rsid w:val="00F42717"/>
    <w:rsid w:val="00F4392A"/>
    <w:rsid w:val="00F47151"/>
    <w:rsid w:val="00F51C7D"/>
    <w:rsid w:val="00F53C8C"/>
    <w:rsid w:val="00F55DCE"/>
    <w:rsid w:val="00F565AB"/>
    <w:rsid w:val="00F578FD"/>
    <w:rsid w:val="00F618F3"/>
    <w:rsid w:val="00F6477D"/>
    <w:rsid w:val="00F744ED"/>
    <w:rsid w:val="00F778EE"/>
    <w:rsid w:val="00F8119C"/>
    <w:rsid w:val="00F821F1"/>
    <w:rsid w:val="00F91330"/>
    <w:rsid w:val="00F91927"/>
    <w:rsid w:val="00F9340B"/>
    <w:rsid w:val="00F9611A"/>
    <w:rsid w:val="00F965EC"/>
    <w:rsid w:val="00FA228E"/>
    <w:rsid w:val="00FA4707"/>
    <w:rsid w:val="00FA600E"/>
    <w:rsid w:val="00FB1CCB"/>
    <w:rsid w:val="00FB6E68"/>
    <w:rsid w:val="00FC0D21"/>
    <w:rsid w:val="00FC450E"/>
    <w:rsid w:val="00FD0230"/>
    <w:rsid w:val="00FD1371"/>
    <w:rsid w:val="00FD2F02"/>
    <w:rsid w:val="00FD320B"/>
    <w:rsid w:val="00FD5E1D"/>
    <w:rsid w:val="00FD736F"/>
    <w:rsid w:val="00FE0458"/>
    <w:rsid w:val="00FE6D42"/>
    <w:rsid w:val="00FF3396"/>
    <w:rsid w:val="00FF3C06"/>
    <w:rsid w:val="00FF49C0"/>
    <w:rsid w:val="00FF559D"/>
    <w:rsid w:val="00FF62B8"/>
    <w:rsid w:val="00FF65CC"/>
    <w:rsid w:val="01173507"/>
    <w:rsid w:val="01223B82"/>
    <w:rsid w:val="016F1D40"/>
    <w:rsid w:val="02A71F21"/>
    <w:rsid w:val="03E33DD9"/>
    <w:rsid w:val="045D3161"/>
    <w:rsid w:val="04D16849"/>
    <w:rsid w:val="0583129C"/>
    <w:rsid w:val="080F23AB"/>
    <w:rsid w:val="08267FEE"/>
    <w:rsid w:val="08C558D5"/>
    <w:rsid w:val="0B9251E7"/>
    <w:rsid w:val="0E9F328E"/>
    <w:rsid w:val="129B7B28"/>
    <w:rsid w:val="13206C03"/>
    <w:rsid w:val="147225A4"/>
    <w:rsid w:val="15E275E1"/>
    <w:rsid w:val="176C72F7"/>
    <w:rsid w:val="17AD72DC"/>
    <w:rsid w:val="17D50F45"/>
    <w:rsid w:val="18024DE1"/>
    <w:rsid w:val="18973A8F"/>
    <w:rsid w:val="1FB67850"/>
    <w:rsid w:val="20E37A02"/>
    <w:rsid w:val="23652452"/>
    <w:rsid w:val="23D97A5F"/>
    <w:rsid w:val="23DD2941"/>
    <w:rsid w:val="24203203"/>
    <w:rsid w:val="251575D7"/>
    <w:rsid w:val="272B250C"/>
    <w:rsid w:val="29B60A92"/>
    <w:rsid w:val="2A7B1E4F"/>
    <w:rsid w:val="2B1B12D3"/>
    <w:rsid w:val="2BA22524"/>
    <w:rsid w:val="2C444291"/>
    <w:rsid w:val="2FD2167C"/>
    <w:rsid w:val="2FDE3E86"/>
    <w:rsid w:val="30971DC9"/>
    <w:rsid w:val="31AB0AFA"/>
    <w:rsid w:val="31E242B8"/>
    <w:rsid w:val="31E70919"/>
    <w:rsid w:val="33334345"/>
    <w:rsid w:val="33961409"/>
    <w:rsid w:val="346D7BCB"/>
    <w:rsid w:val="3658101D"/>
    <w:rsid w:val="38F93A05"/>
    <w:rsid w:val="3A167FE3"/>
    <w:rsid w:val="3D716EAD"/>
    <w:rsid w:val="3E98676B"/>
    <w:rsid w:val="3F8F5C39"/>
    <w:rsid w:val="3F911157"/>
    <w:rsid w:val="40917544"/>
    <w:rsid w:val="415E14F1"/>
    <w:rsid w:val="432D6943"/>
    <w:rsid w:val="44166969"/>
    <w:rsid w:val="469B67F8"/>
    <w:rsid w:val="4A6C546D"/>
    <w:rsid w:val="4B931DE9"/>
    <w:rsid w:val="4BB05B0A"/>
    <w:rsid w:val="4C0B40AF"/>
    <w:rsid w:val="4DE4298B"/>
    <w:rsid w:val="4E1E1371"/>
    <w:rsid w:val="4E6962A3"/>
    <w:rsid w:val="4FF333B5"/>
    <w:rsid w:val="50BE55B0"/>
    <w:rsid w:val="51F96A8C"/>
    <w:rsid w:val="526D0F39"/>
    <w:rsid w:val="52746CF3"/>
    <w:rsid w:val="53A42D74"/>
    <w:rsid w:val="54DE5826"/>
    <w:rsid w:val="54EE77FB"/>
    <w:rsid w:val="570E3A04"/>
    <w:rsid w:val="58A76C53"/>
    <w:rsid w:val="597823D6"/>
    <w:rsid w:val="59A61CD2"/>
    <w:rsid w:val="5A443547"/>
    <w:rsid w:val="5B1332C5"/>
    <w:rsid w:val="5E436148"/>
    <w:rsid w:val="5E7E6F7C"/>
    <w:rsid w:val="5F62426D"/>
    <w:rsid w:val="5FB2527F"/>
    <w:rsid w:val="5FDC5EDE"/>
    <w:rsid w:val="61E1613C"/>
    <w:rsid w:val="62B06376"/>
    <w:rsid w:val="63011BB9"/>
    <w:rsid w:val="64212551"/>
    <w:rsid w:val="64544266"/>
    <w:rsid w:val="652006F9"/>
    <w:rsid w:val="66BC7D5B"/>
    <w:rsid w:val="69390762"/>
    <w:rsid w:val="6A591372"/>
    <w:rsid w:val="6B0C2D7F"/>
    <w:rsid w:val="6DD4663E"/>
    <w:rsid w:val="700A405F"/>
    <w:rsid w:val="70567B89"/>
    <w:rsid w:val="730B244E"/>
    <w:rsid w:val="73B75A12"/>
    <w:rsid w:val="746D6812"/>
    <w:rsid w:val="76AE47C2"/>
    <w:rsid w:val="77CC40D6"/>
    <w:rsid w:val="78A432B2"/>
    <w:rsid w:val="79042718"/>
    <w:rsid w:val="790E7B46"/>
    <w:rsid w:val="7ABA5B7D"/>
    <w:rsid w:val="7B777F9E"/>
    <w:rsid w:val="7BFD7A69"/>
    <w:rsid w:val="7D2F2194"/>
    <w:rsid w:val="7F314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AB8075"/>
  <w15:docId w15:val="{4D867A0D-E213-4313-82BE-703C02EDE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uiPriority="99"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rPr>
  </w:style>
  <w:style w:type="paragraph" w:styleId="1">
    <w:name w:val="heading 1"/>
    <w:basedOn w:val="a"/>
    <w:next w:val="a"/>
    <w:link w:val="10"/>
    <w:uiPriority w:val="9"/>
    <w:qFormat/>
    <w:pPr>
      <w:keepNext/>
      <w:keepLines/>
      <w:snapToGrid w:val="0"/>
      <w:spacing w:line="360" w:lineRule="auto"/>
      <w:ind w:firstLine="541"/>
      <w:outlineLvl w:val="0"/>
    </w:pPr>
    <w:rPr>
      <w:rFonts w:ascii="宋体" w:hAnsi="宋体"/>
      <w:b/>
      <w:color w:val="000000"/>
      <w:sz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link w:val="a4"/>
    <w:uiPriority w:val="99"/>
    <w:semiHidden/>
    <w:qFormat/>
    <w:rPr>
      <w:sz w:val="18"/>
      <w:szCs w:val="18"/>
    </w:rPr>
  </w:style>
  <w:style w:type="paragraph" w:styleId="a5">
    <w:name w:val="Document Map"/>
    <w:basedOn w:val="a"/>
    <w:link w:val="a6"/>
    <w:uiPriority w:val="99"/>
    <w:unhideWhenUsed/>
    <w:qFormat/>
    <w:rPr>
      <w:rFonts w:ascii="宋体" w:hAnsi="Calibri"/>
      <w:kern w:val="0"/>
      <w:sz w:val="18"/>
      <w:szCs w:val="18"/>
    </w:rPr>
  </w:style>
  <w:style w:type="paragraph" w:styleId="a7">
    <w:name w:val="annotation text"/>
    <w:basedOn w:val="a"/>
    <w:link w:val="11"/>
    <w:qFormat/>
    <w:pPr>
      <w:jc w:val="left"/>
    </w:pPr>
  </w:style>
  <w:style w:type="paragraph" w:styleId="a8">
    <w:name w:val="Body Text Indent"/>
    <w:basedOn w:val="a"/>
    <w:link w:val="a9"/>
    <w:qFormat/>
    <w:pPr>
      <w:autoSpaceDE w:val="0"/>
      <w:autoSpaceDN w:val="0"/>
      <w:adjustRightInd w:val="0"/>
      <w:spacing w:line="360" w:lineRule="auto"/>
      <w:ind w:firstLineChars="199" w:firstLine="478"/>
    </w:pPr>
    <w:rPr>
      <w:rFonts w:ascii="宋体" w:hAnsi="宋体"/>
      <w:kern w:val="0"/>
      <w:sz w:val="24"/>
      <w:szCs w:val="21"/>
    </w:rPr>
  </w:style>
  <w:style w:type="paragraph" w:styleId="aa">
    <w:name w:val="Plain Text"/>
    <w:basedOn w:val="a"/>
    <w:link w:val="ab"/>
    <w:qFormat/>
    <w:rPr>
      <w:rFonts w:ascii="宋体" w:hAnsi="Courier New"/>
      <w:szCs w:val="21"/>
    </w:rPr>
  </w:style>
  <w:style w:type="paragraph" w:styleId="ac">
    <w:name w:val="Date"/>
    <w:basedOn w:val="a"/>
    <w:next w:val="a"/>
    <w:qFormat/>
    <w:pPr>
      <w:ind w:leftChars="2500" w:left="100"/>
    </w:pPr>
    <w:rPr>
      <w:rFonts w:ascii="宋体" w:hAnsi="宋体"/>
      <w:sz w:val="24"/>
    </w:rPr>
  </w:style>
  <w:style w:type="paragraph" w:styleId="20">
    <w:name w:val="Body Text Indent 2"/>
    <w:basedOn w:val="a"/>
    <w:link w:val="21"/>
    <w:qFormat/>
    <w:pPr>
      <w:spacing w:before="60" w:after="60"/>
      <w:ind w:left="479"/>
    </w:pPr>
    <w:rPr>
      <w:rFonts w:ascii="宋体"/>
      <w:sz w:val="24"/>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uiPriority w:val="99"/>
    <w:qFormat/>
    <w:pPr>
      <w:pBdr>
        <w:bottom w:val="single" w:sz="6" w:space="1" w:color="auto"/>
      </w:pBdr>
      <w:tabs>
        <w:tab w:val="center" w:pos="4153"/>
        <w:tab w:val="right" w:pos="8306"/>
      </w:tabs>
      <w:snapToGrid w:val="0"/>
      <w:jc w:val="center"/>
    </w:pPr>
    <w:rPr>
      <w:sz w:val="18"/>
      <w:szCs w:val="18"/>
    </w:rPr>
  </w:style>
  <w:style w:type="paragraph" w:styleId="12">
    <w:name w:val="toc 1"/>
    <w:basedOn w:val="a"/>
    <w:next w:val="a"/>
    <w:uiPriority w:val="39"/>
    <w:unhideWhenUsed/>
    <w:qFormat/>
    <w:pPr>
      <w:tabs>
        <w:tab w:val="right" w:leader="hyphen" w:pos="8296"/>
      </w:tabs>
      <w:spacing w:line="360" w:lineRule="auto"/>
    </w:pPr>
    <w:rPr>
      <w:rFonts w:ascii="宋体" w:hAnsi="宋体"/>
      <w:sz w:val="24"/>
      <w:szCs w:val="24"/>
    </w:rPr>
  </w:style>
  <w:style w:type="paragraph" w:styleId="af1">
    <w:name w:val="annotation subject"/>
    <w:basedOn w:val="a7"/>
    <w:next w:val="a7"/>
    <w:link w:val="af2"/>
    <w:uiPriority w:val="99"/>
    <w:semiHidden/>
    <w:qFormat/>
    <w:rPr>
      <w:b/>
      <w:bCs/>
    </w:rPr>
  </w:style>
  <w:style w:type="character" w:styleId="af3">
    <w:name w:val="page number"/>
    <w:basedOn w:val="a1"/>
    <w:qFormat/>
  </w:style>
  <w:style w:type="character" w:styleId="af4">
    <w:name w:val="FollowedHyperlink"/>
    <w:qFormat/>
    <w:rPr>
      <w:color w:val="800080"/>
      <w:u w:val="single"/>
    </w:rPr>
  </w:style>
  <w:style w:type="character" w:styleId="af5">
    <w:name w:val="Hyperlink"/>
    <w:uiPriority w:val="99"/>
    <w:qFormat/>
    <w:rPr>
      <w:color w:val="0000FF"/>
      <w:u w:val="single"/>
    </w:rPr>
  </w:style>
  <w:style w:type="character" w:styleId="af6">
    <w:name w:val="annotation reference"/>
    <w:qFormat/>
    <w:rPr>
      <w:sz w:val="21"/>
      <w:szCs w:val="21"/>
    </w:rPr>
  </w:style>
  <w:style w:type="character" w:customStyle="1" w:styleId="af0">
    <w:name w:val="页眉 字符"/>
    <w:link w:val="af"/>
    <w:uiPriority w:val="99"/>
    <w:qFormat/>
    <w:rPr>
      <w:kern w:val="2"/>
      <w:sz w:val="18"/>
      <w:szCs w:val="18"/>
    </w:rPr>
  </w:style>
  <w:style w:type="character" w:customStyle="1" w:styleId="DeltaViewInsertion">
    <w:name w:val="DeltaView Insertion"/>
    <w:qFormat/>
    <w:rPr>
      <w:color w:val="0000FF"/>
      <w:spacing w:val="0"/>
      <w:u w:val="double"/>
    </w:rPr>
  </w:style>
  <w:style w:type="character" w:customStyle="1" w:styleId="21">
    <w:name w:val="正文文本缩进 2 字符"/>
    <w:link w:val="20"/>
    <w:qFormat/>
    <w:rPr>
      <w:rFonts w:ascii="宋体"/>
      <w:kern w:val="2"/>
      <w:sz w:val="24"/>
    </w:rPr>
  </w:style>
  <w:style w:type="character" w:customStyle="1" w:styleId="ab">
    <w:name w:val="纯文本 字符"/>
    <w:link w:val="aa"/>
    <w:qFormat/>
    <w:rPr>
      <w:rFonts w:ascii="宋体" w:hAnsi="Courier New" w:cs="Courier New"/>
      <w:kern w:val="2"/>
      <w:sz w:val="21"/>
      <w:szCs w:val="21"/>
    </w:rPr>
  </w:style>
  <w:style w:type="character" w:customStyle="1" w:styleId="e-arialb101">
    <w:name w:val="e-arialb101"/>
    <w:qFormat/>
    <w:rPr>
      <w:rFonts w:ascii="Arial" w:hAnsi="Arial" w:cs="Arial" w:hint="default"/>
      <w:color w:val="000000"/>
      <w:sz w:val="14"/>
      <w:szCs w:val="14"/>
    </w:rPr>
  </w:style>
  <w:style w:type="character" w:customStyle="1" w:styleId="10">
    <w:name w:val="标题 1 字符"/>
    <w:link w:val="1"/>
    <w:uiPriority w:val="9"/>
    <w:qFormat/>
    <w:rPr>
      <w:rFonts w:ascii="宋体" w:hAnsi="宋体"/>
      <w:b/>
      <w:color w:val="000000"/>
      <w:kern w:val="2"/>
      <w:sz w:val="24"/>
    </w:rPr>
  </w:style>
  <w:style w:type="character" w:customStyle="1" w:styleId="af2">
    <w:name w:val="批注主题 字符"/>
    <w:link w:val="af1"/>
    <w:uiPriority w:val="99"/>
    <w:semiHidden/>
    <w:qFormat/>
    <w:rPr>
      <w:b/>
      <w:bCs/>
      <w:kern w:val="2"/>
      <w:sz w:val="21"/>
    </w:rPr>
  </w:style>
  <w:style w:type="character" w:customStyle="1" w:styleId="a6">
    <w:name w:val="文档结构图 字符"/>
    <w:link w:val="a5"/>
    <w:uiPriority w:val="99"/>
    <w:qFormat/>
    <w:rPr>
      <w:rFonts w:ascii="宋体" w:hAnsi="Calibri"/>
      <w:sz w:val="18"/>
      <w:szCs w:val="18"/>
    </w:rPr>
  </w:style>
  <w:style w:type="character" w:customStyle="1" w:styleId="a4">
    <w:name w:val="批注框文本 字符"/>
    <w:link w:val="a0"/>
    <w:uiPriority w:val="99"/>
    <w:semiHidden/>
    <w:qFormat/>
    <w:rPr>
      <w:kern w:val="2"/>
      <w:sz w:val="18"/>
      <w:szCs w:val="18"/>
    </w:rPr>
  </w:style>
  <w:style w:type="character" w:customStyle="1" w:styleId="11">
    <w:name w:val="批注文字 字符1"/>
    <w:link w:val="a7"/>
    <w:uiPriority w:val="99"/>
    <w:qFormat/>
    <w:rPr>
      <w:kern w:val="2"/>
      <w:sz w:val="21"/>
    </w:rPr>
  </w:style>
  <w:style w:type="character" w:customStyle="1" w:styleId="a9">
    <w:name w:val="正文文本缩进 字符"/>
    <w:link w:val="a8"/>
    <w:qFormat/>
    <w:rPr>
      <w:rFonts w:ascii="宋体" w:hAnsi="宋体" w:cs="Arial"/>
      <w:sz w:val="24"/>
      <w:szCs w:val="21"/>
    </w:rPr>
  </w:style>
  <w:style w:type="character" w:customStyle="1" w:styleId="apple-style-span">
    <w:name w:val="apple-style-span"/>
    <w:qFormat/>
  </w:style>
  <w:style w:type="character" w:customStyle="1" w:styleId="ae">
    <w:name w:val="页脚 字符"/>
    <w:link w:val="ad"/>
    <w:uiPriority w:val="99"/>
    <w:qFormat/>
    <w:rPr>
      <w:kern w:val="2"/>
      <w:sz w:val="18"/>
      <w:szCs w:val="18"/>
    </w:rPr>
  </w:style>
  <w:style w:type="paragraph" w:customStyle="1" w:styleId="13">
    <w:name w:val="修订1"/>
    <w:uiPriority w:val="99"/>
    <w:semiHidden/>
    <w:qFormat/>
    <w:rPr>
      <w:rFonts w:ascii="Calibri" w:hAnsi="Calibri"/>
      <w:kern w:val="2"/>
      <w:sz w:val="21"/>
      <w:szCs w:val="22"/>
    </w:rPr>
  </w:style>
  <w:style w:type="paragraph" w:customStyle="1" w:styleId="NormalJustified">
    <w:name w:val="Normal (Justified)"/>
    <w:basedOn w:val="a"/>
    <w:semiHidden/>
    <w:qFormat/>
    <w:pPr>
      <w:widowControl/>
      <w:snapToGrid w:val="0"/>
    </w:pPr>
    <w:rPr>
      <w:kern w:val="28"/>
      <w:sz w:val="24"/>
    </w:rPr>
  </w:style>
  <w:style w:type="paragraph" w:customStyle="1" w:styleId="CharCharCharCharCharCharCharCharCharCharCharCharChar1CharCharCharChar">
    <w:name w:val="Char Char Char Char Char Char Char Char Char Char Char Char Char1 Char Char Char Char"/>
    <w:basedOn w:val="a"/>
    <w:qFormat/>
    <w:rPr>
      <w:rFonts w:ascii="Tahoma" w:hAnsi="Tahoma"/>
      <w:sz w:val="24"/>
      <w:szCs w:val="2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Char">
    <w:name w:val="Char"/>
    <w:basedOn w:val="a"/>
    <w:qFormat/>
    <w:pPr>
      <w:widowControl/>
      <w:spacing w:after="160" w:line="240" w:lineRule="exact"/>
      <w:jc w:val="left"/>
    </w:pPr>
  </w:style>
  <w:style w:type="paragraph" w:customStyle="1" w:styleId="CharCharChar">
    <w:name w:val="Char Char Char"/>
    <w:basedOn w:val="a"/>
    <w:qFormat/>
    <w:rPr>
      <w:szCs w:val="24"/>
    </w:rPr>
  </w:style>
  <w:style w:type="paragraph" w:customStyle="1" w:styleId="CharCharCharCharCharCharChar">
    <w:name w:val="Char Char Char Char Char Char Char"/>
    <w:basedOn w:val="a"/>
    <w:qFormat/>
    <w:pPr>
      <w:tabs>
        <w:tab w:val="left" w:pos="360"/>
      </w:tabs>
      <w:adjustRightInd w:val="0"/>
      <w:textAlignment w:val="baseline"/>
    </w:pPr>
    <w:rPr>
      <w:sz w:val="24"/>
    </w:rPr>
  </w:style>
  <w:style w:type="paragraph" w:customStyle="1" w:styleId="CM16">
    <w:name w:val="CM16"/>
    <w:basedOn w:val="Default"/>
    <w:next w:val="Default"/>
    <w:qFormat/>
    <w:pPr>
      <w:spacing w:line="471" w:lineRule="atLeast"/>
    </w:pPr>
    <w:rPr>
      <w:rFonts w:ascii="黑体" w:eastAsia="黑体" w:hAnsi="Times New Roman" w:cs="Times New Roman"/>
      <w:color w:val="auto"/>
    </w:rPr>
  </w:style>
  <w:style w:type="paragraph" w:customStyle="1" w:styleId="CharCharChar1CharCharCharChar">
    <w:name w:val="Char Char Char1 Char Char Char Char"/>
    <w:basedOn w:val="a"/>
    <w:qFormat/>
    <w:pPr>
      <w:tabs>
        <w:tab w:val="left" w:pos="360"/>
      </w:tabs>
    </w:pPr>
    <w:rPr>
      <w:sz w:val="24"/>
      <w:szCs w:val="24"/>
    </w:rPr>
  </w:style>
  <w:style w:type="paragraph" w:customStyle="1" w:styleId="4CharCharCharChar">
    <w:name w:val="4 Char Char Char Char"/>
    <w:basedOn w:val="a"/>
    <w:qFormat/>
    <w:rPr>
      <w:rFonts w:ascii="Tahoma" w:hAnsi="Tahoma"/>
      <w:sz w:val="24"/>
    </w:r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style>
  <w:style w:type="character" w:customStyle="1" w:styleId="af7">
    <w:name w:val="批注文字 字符"/>
    <w:qFormat/>
    <w:rPr>
      <w:rFonts w:ascii="Times New Roman" w:eastAsia="宋体" w:hAnsi="Times New Roman" w:cs="Times New Roman"/>
      <w:szCs w:val="24"/>
    </w:rPr>
  </w:style>
  <w:style w:type="paragraph" w:customStyle="1" w:styleId="22">
    <w:name w:val="修订2"/>
    <w:hidden/>
    <w:uiPriority w:val="99"/>
    <w:semiHidden/>
    <w:qFormat/>
    <w:rPr>
      <w:kern w:val="2"/>
      <w:sz w:val="21"/>
    </w:rPr>
  </w:style>
  <w:style w:type="character" w:customStyle="1" w:styleId="Char1">
    <w:name w:val="批注文字 Char1"/>
    <w:qFormat/>
    <w:rPr>
      <w:kern w:val="2"/>
      <w:sz w:val="21"/>
    </w:rPr>
  </w:style>
  <w:style w:type="paragraph" w:customStyle="1" w:styleId="30">
    <w:name w:val="修订3"/>
    <w:hidden/>
    <w:uiPriority w:val="99"/>
    <w:semiHidden/>
    <w:qFormat/>
    <w:rPr>
      <w:kern w:val="2"/>
      <w:sz w:val="21"/>
    </w:rPr>
  </w:style>
  <w:style w:type="paragraph" w:customStyle="1" w:styleId="4">
    <w:name w:val="修订4"/>
    <w:hidden/>
    <w:uiPriority w:val="99"/>
    <w:semiHidden/>
    <w:qFormat/>
    <w:rPr>
      <w:kern w:val="2"/>
      <w:sz w:val="21"/>
    </w:rPr>
  </w:style>
  <w:style w:type="paragraph" w:customStyle="1" w:styleId="5">
    <w:name w:val="修订5"/>
    <w:hidden/>
    <w:uiPriority w:val="99"/>
    <w:semiHidden/>
    <w:qFormat/>
    <w:rPr>
      <w:kern w:val="2"/>
      <w:sz w:val="21"/>
    </w:rPr>
  </w:style>
  <w:style w:type="character" w:customStyle="1" w:styleId="read">
    <w:name w:val="read"/>
    <w:basedOn w:val="a1"/>
    <w:qFormat/>
  </w:style>
  <w:style w:type="paragraph" w:customStyle="1" w:styleId="6">
    <w:name w:val="修订6"/>
    <w:hidden/>
    <w:uiPriority w:val="99"/>
    <w:unhideWhenUsed/>
    <w:qFormat/>
    <w:rPr>
      <w:kern w:val="2"/>
      <w:sz w:val="21"/>
    </w:rPr>
  </w:style>
  <w:style w:type="paragraph" w:customStyle="1" w:styleId="14">
    <w:name w:val="正文1"/>
    <w:qFormat/>
    <w:pPr>
      <w:widowControl w:val="0"/>
      <w:jc w:val="both"/>
    </w:pPr>
    <w:rPr>
      <w:sz w:val="21"/>
    </w:rPr>
  </w:style>
  <w:style w:type="character" w:customStyle="1" w:styleId="Char0">
    <w:name w:val="正文文本缩进 Char"/>
    <w:rsid w:val="00BC0C4E"/>
    <w:rPr>
      <w:rFonts w:ascii="宋体" w:hAnsi="宋体" w:cs="Arial"/>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499E41-2FA6-4A97-9EDF-88F81149C6CB}">
  <ds:schemaRefs>
    <ds:schemaRef ds:uri="http://schemas.openxmlformats.org/officeDocument/2006/bibliography"/>
  </ds:schemaRefs>
</ds:datastoreItem>
</file>

<file path=customXml/itemProps3.xml><?xml version="1.0" encoding="utf-8"?>
<ds:datastoreItem xmlns:ds="http://schemas.openxmlformats.org/officeDocument/2006/customXml" ds:itemID="{6570BBA9-7C9C-406B-BED5-3000AA150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4781</Words>
  <Characters>27253</Characters>
  <Application>Microsoft Office Word</Application>
  <DocSecurity>0</DocSecurity>
  <Lines>227</Lines>
  <Paragraphs>63</Paragraphs>
  <ScaleCrop>false</ScaleCrop>
  <Company>Microsoft</Company>
  <LinksUpToDate>false</LinksUpToDate>
  <CharactersWithSpaces>31971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刘斓</dc:creator>
  <cp:lastModifiedBy>郑翔</cp:lastModifiedBy>
  <cp:revision>11</cp:revision>
  <cp:lastPrinted>2025-09-08T11:19:00Z</cp:lastPrinted>
  <dcterms:created xsi:type="dcterms:W3CDTF">2025-08-04T07:40:00Z</dcterms:created>
  <dcterms:modified xsi:type="dcterms:W3CDTF">2025-09-08T11:19:00Z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2052-12.8.2.19795</vt:lpwstr>
  </property>
  <property fmtid="{D5CDD505-2E9C-101B-9397-08002B2CF9AE}" pid="3" name="ICV">
    <vt:lpwstr>80AFE6A275C14F619C240B2B12A50861_13</vt:lpwstr>
  </property>
</Properties>
</file>